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203" w:rsidRDefault="00EC60E3" w:rsidP="00EC60E3">
      <w:pPr>
        <w:pStyle w:val="Title"/>
        <w:jc w:val="center"/>
      </w:pPr>
      <w:bookmarkStart w:id="0" w:name="_GoBack"/>
      <w:bookmarkEnd w:id="0"/>
      <w:r>
        <w:t>Report of the Task Group on Social Audit</w:t>
      </w:r>
    </w:p>
    <w:p w:rsidR="00EC60E3" w:rsidRDefault="00EC60E3" w:rsidP="00EC60E3">
      <w:pPr>
        <w:pStyle w:val="Heading1"/>
      </w:pPr>
      <w:r>
        <w:t>Background</w:t>
      </w:r>
    </w:p>
    <w:p w:rsidR="00EC60E3" w:rsidRDefault="00EC60E3" w:rsidP="00EC60E3">
      <w:r>
        <w:t xml:space="preserve">The XXIV Conference of Accountants General held in October 2008 recommended, among others, that guidelines and methodologies for audit of </w:t>
      </w:r>
      <w:r w:rsidR="00282491">
        <w:t>g</w:t>
      </w:r>
      <w:r>
        <w:t>reenfield areas</w:t>
      </w:r>
      <w:r w:rsidR="00282491">
        <w:t xml:space="preserve"> like social audit</w:t>
      </w:r>
      <w:r>
        <w:t xml:space="preserve"> be developed. Pursuant to this recommendation, the Comptroller and Auditor General of India constituted a </w:t>
      </w:r>
      <w:r w:rsidR="00282491">
        <w:t>T</w:t>
      </w:r>
      <w:r>
        <w:t xml:space="preserve">ask </w:t>
      </w:r>
      <w:r w:rsidR="00282491">
        <w:t>G</w:t>
      </w:r>
      <w:r>
        <w:t>roup in May 2009 under the chairmanship of Shri Narendra Singh, DAI</w:t>
      </w:r>
      <w:r w:rsidR="00282491">
        <w:t xml:space="preserve"> </w:t>
      </w:r>
      <w:r>
        <w:t>(LB &amp; AEC) and the following members, for framing guidelines for social audit:</w:t>
      </w:r>
    </w:p>
    <w:p w:rsidR="00EC60E3" w:rsidRDefault="00EC60E3" w:rsidP="00EC60E3">
      <w:pPr>
        <w:pStyle w:val="ListParagraph"/>
        <w:numPr>
          <w:ilvl w:val="0"/>
          <w:numId w:val="2"/>
        </w:numPr>
      </w:pPr>
      <w:r>
        <w:t>Shri AK Thakur, DG</w:t>
      </w:r>
    </w:p>
    <w:p w:rsidR="00EC60E3" w:rsidRDefault="00EC60E3" w:rsidP="00EC60E3">
      <w:pPr>
        <w:pStyle w:val="ListParagraph"/>
        <w:numPr>
          <w:ilvl w:val="0"/>
          <w:numId w:val="2"/>
        </w:numPr>
      </w:pPr>
      <w:r>
        <w:t>Shri Niranjan Pant, DG</w:t>
      </w:r>
    </w:p>
    <w:p w:rsidR="00EC60E3" w:rsidRDefault="00EC60E3" w:rsidP="00EC60E3">
      <w:pPr>
        <w:pStyle w:val="ListParagraph"/>
        <w:numPr>
          <w:ilvl w:val="0"/>
          <w:numId w:val="2"/>
        </w:numPr>
      </w:pPr>
      <w:r>
        <w:t>Shri A Mukhopadhyay, JS, Lok Sabha Secretariat</w:t>
      </w:r>
    </w:p>
    <w:p w:rsidR="00EC60E3" w:rsidRDefault="00EC60E3" w:rsidP="00EC60E3">
      <w:pPr>
        <w:pStyle w:val="ListParagraph"/>
        <w:numPr>
          <w:ilvl w:val="0"/>
          <w:numId w:val="2"/>
        </w:numPr>
      </w:pPr>
      <w:r>
        <w:t>Shri RS Rangarajan, DG</w:t>
      </w:r>
    </w:p>
    <w:p w:rsidR="00EC60E3" w:rsidRDefault="00EC60E3" w:rsidP="00EC60E3">
      <w:pPr>
        <w:pStyle w:val="ListParagraph"/>
        <w:numPr>
          <w:ilvl w:val="0"/>
          <w:numId w:val="2"/>
        </w:numPr>
      </w:pPr>
      <w:r>
        <w:t>Ms. Vani Sriram, PD (Member-Convenor)</w:t>
      </w:r>
    </w:p>
    <w:p w:rsidR="00EC60E3" w:rsidRDefault="00EC60E3" w:rsidP="00A213D5">
      <w:r>
        <w:t xml:space="preserve">The </w:t>
      </w:r>
      <w:r w:rsidR="00282491">
        <w:t>T</w:t>
      </w:r>
      <w:r>
        <w:t xml:space="preserve">ask </w:t>
      </w:r>
      <w:r w:rsidR="00282491">
        <w:t>G</w:t>
      </w:r>
      <w:r>
        <w:t xml:space="preserve">roup distributed </w:t>
      </w:r>
      <w:r w:rsidR="00282491">
        <w:t xml:space="preserve">the </w:t>
      </w:r>
      <w:r>
        <w:t xml:space="preserve">core areas of study and research among the members for intense study, and held several meetings to discuss the issues relating to the assignment. In addition, the group met other stakeholders and vigilante organisations </w:t>
      </w:r>
      <w:r w:rsidR="00282491">
        <w:t xml:space="preserve">that are </w:t>
      </w:r>
      <w:r>
        <w:t xml:space="preserve">active in the field of social audit. The </w:t>
      </w:r>
      <w:r w:rsidR="00282491">
        <w:t>G</w:t>
      </w:r>
      <w:r>
        <w:t xml:space="preserve">roup attended </w:t>
      </w:r>
      <w:r w:rsidRPr="00282491">
        <w:rPr>
          <w:i/>
          <w:iCs/>
        </w:rPr>
        <w:t>Jan Sunwais</w:t>
      </w:r>
      <w:r>
        <w:t xml:space="preserve"> and </w:t>
      </w:r>
      <w:r w:rsidRPr="00282491">
        <w:rPr>
          <w:i/>
          <w:iCs/>
        </w:rPr>
        <w:t>Sammelans</w:t>
      </w:r>
      <w:r>
        <w:t xml:space="preserve"> organised by the Government of Rajasthan in association with civil society organisations.</w:t>
      </w:r>
      <w:r w:rsidR="00A213D5">
        <w:t xml:space="preserve"> </w:t>
      </w:r>
      <w:r>
        <w:t xml:space="preserve">The </w:t>
      </w:r>
      <w:r w:rsidR="00282491">
        <w:t>G</w:t>
      </w:r>
      <w:r>
        <w:t xml:space="preserve">roup </w:t>
      </w:r>
      <w:r w:rsidR="00A213D5">
        <w:t xml:space="preserve">also </w:t>
      </w:r>
      <w:r>
        <w:t xml:space="preserve">organised a national seminar </w:t>
      </w:r>
      <w:r w:rsidR="00A213D5">
        <w:t xml:space="preserve">on </w:t>
      </w:r>
      <w:r>
        <w:t>24</w:t>
      </w:r>
      <w:r w:rsidRPr="00EC60E3">
        <w:rPr>
          <w:vertAlign w:val="superscript"/>
        </w:rPr>
        <w:t>th</w:t>
      </w:r>
      <w:r>
        <w:t xml:space="preserve"> October 2009 at CAG’s Office, New Delhi to discuss </w:t>
      </w:r>
      <w:r w:rsidR="00A213D5">
        <w:t>and explore ways to synergise CAG’s audit with social audit. Suggestions offered by members of the Audit Advisory Board during the recent meeting of November 2009 were also incorporated.</w:t>
      </w:r>
    </w:p>
    <w:p w:rsidR="00A213D5" w:rsidRDefault="00A213D5" w:rsidP="00A213D5">
      <w:pPr>
        <w:pStyle w:val="Heading1"/>
      </w:pPr>
      <w:r>
        <w:t>CAG’s Audit – Current Scenario</w:t>
      </w:r>
    </w:p>
    <w:p w:rsidR="009E54F1" w:rsidRPr="00EF672C" w:rsidRDefault="009E54F1" w:rsidP="009E54F1">
      <w:r w:rsidRPr="00EF672C">
        <w:t>Over the last four decades, the CAG has been regularly appraising socio-economic developmental programmes through performance audits. This has gained renewed emphasis over the last five years, with the introduction of new performance audit guidelines in line with international best practices. The new performance audit methodology envisages more structured planning to identify governance-centric issues, closer interaction with the Executive at all stages of the audit process (during audit planning, execution and reporting), and use of modern methods for gathering audit evidence (field/ physical visits, photographic evidence, beneficiary/ stakeholder surveys, use of statistical sampling techniques etc).</w:t>
      </w:r>
    </w:p>
    <w:p w:rsidR="009E54F1" w:rsidRPr="00EF672C" w:rsidRDefault="009E54F1" w:rsidP="009E54F1">
      <w:r w:rsidRPr="00EF672C">
        <w:t xml:space="preserve">During the last five years, most of the flagship/ key programmes of the Government of India e.g. National Rural Employment Guarantee </w:t>
      </w:r>
      <w:r w:rsidR="00282491">
        <w:t>Scheme</w:t>
      </w:r>
      <w:r w:rsidRPr="00EF672C">
        <w:t xml:space="preserve"> (NREG</w:t>
      </w:r>
      <w:r w:rsidR="00282491">
        <w:t>S</w:t>
      </w:r>
      <w:r w:rsidRPr="00EF672C">
        <w:t xml:space="preserve">), National Rural Health Mission (NRHM), Sarva Shiksha Abhiyan (SSA), Mid-day Meals Scheme, Accelerated Rural Water </w:t>
      </w:r>
      <w:r w:rsidRPr="00EF672C">
        <w:lastRenderedPageBreak/>
        <w:t>Supply Programme (ARWSP), and Pradhan Mantri Gram Sadak Yojana (PMGSY), have been reviewed by the CAG at an All India level. In addition, several niche areas/ issues like Consumer Protection Act, Waste Management, Police Modernisation Scheme etc. have been covered through Central and State-specific performance audits.</w:t>
      </w:r>
    </w:p>
    <w:p w:rsidR="009E54F1" w:rsidRPr="008D057E" w:rsidRDefault="009E54F1" w:rsidP="00E05BD2">
      <w:pPr>
        <w:pStyle w:val="Heading1"/>
      </w:pPr>
      <w:r w:rsidRPr="008D057E">
        <w:t>Areas of Concern</w:t>
      </w:r>
    </w:p>
    <w:p w:rsidR="009E54F1" w:rsidRPr="00EF672C" w:rsidRDefault="009E54F1" w:rsidP="009E54F1">
      <w:r w:rsidRPr="00EF672C">
        <w:t>With the 74</w:t>
      </w:r>
      <w:r w:rsidRPr="00EF672C">
        <w:rPr>
          <w:vertAlign w:val="superscript"/>
        </w:rPr>
        <w:t>th</w:t>
      </w:r>
      <w:r w:rsidRPr="00EF672C">
        <w:t xml:space="preserve"> Amendment to the Constitution and in line with the recommendations of the XI Finance Commission, the Government of India has been devolving funds to local self-government institutions (Panchayati Raj Institutions and Urban Local Bodies) for various social sector programmes. Also, many such programmes are being implemented through State-supported autonomous bodies and societies, which are outside the traditional State Government administrative structure. Almost all the flagship programmes of GoI are being implemented through PRIs and ULBs and/ or such autonomous bodies. The CAG’s audit jurisdiction over such entities is nebulous, compared to his jurisdiction over traditional Government Departments. In particular, the audit of PRIs and ULBs is governed by the State Local Fund Acts, which do not always provide for in-depth and extensive CAG audits.</w:t>
      </w:r>
    </w:p>
    <w:p w:rsidR="009E54F1" w:rsidRPr="00EF672C" w:rsidRDefault="009E54F1" w:rsidP="009E54F1">
      <w:r w:rsidRPr="00EF672C">
        <w:t>Further, despite the use of field visits, joint physical verifications with Departmental authorities, and beneficiary surveys, the primary focus of the CAG’s performance audits remains, in most cases, processes within Governmental agencies, with the actual verification of outputs and outcomes being only of secondary focus. The prime reason for this is our audit methodology and evidence requirements (necessary in order to ensure the rigour and credibility of our audit findings) as well as manpower constraints. In other words, we cannot verify every rural road or employment generation for every household in a Gram Panchayat due to the limitations of manpower, nor would we accept unauthenticated oral evidence except as supplemental to our core audit evidence.</w:t>
      </w:r>
    </w:p>
    <w:p w:rsidR="00A213D5" w:rsidRPr="00AA30D0" w:rsidRDefault="00A213D5" w:rsidP="00A213D5">
      <w:pPr>
        <w:pStyle w:val="Heading1"/>
        <w:rPr>
          <w:rFonts w:ascii="Cambria" w:eastAsia="Times New Roman" w:hAnsi="Cambria" w:cs="Times New Roman"/>
          <w:color w:val="365F91"/>
        </w:rPr>
      </w:pPr>
      <w:r w:rsidRPr="00AA30D0">
        <w:rPr>
          <w:rFonts w:ascii="Cambria" w:eastAsia="Times New Roman" w:hAnsi="Cambria" w:cs="Times New Roman"/>
          <w:color w:val="365F91"/>
        </w:rPr>
        <w:t>Emerging trends</w:t>
      </w:r>
    </w:p>
    <w:p w:rsidR="00990F4E" w:rsidRDefault="00A213D5" w:rsidP="00A213D5">
      <w:pPr>
        <w:tabs>
          <w:tab w:val="left" w:pos="3390"/>
        </w:tabs>
        <w:rPr>
          <w:rFonts w:ascii="Calibri" w:eastAsia="Calibri" w:hAnsi="Calibri" w:cs="Times New Roman"/>
          <w:szCs w:val="24"/>
        </w:rPr>
      </w:pPr>
      <w:r w:rsidRPr="0075128B">
        <w:rPr>
          <w:rFonts w:ascii="Calibri" w:eastAsia="Calibri" w:hAnsi="Calibri" w:cs="Times New Roman"/>
          <w:szCs w:val="24"/>
        </w:rPr>
        <w:t xml:space="preserve">The </w:t>
      </w:r>
      <w:r w:rsidR="00990F4E">
        <w:rPr>
          <w:rFonts w:ascii="Calibri" w:eastAsia="Calibri" w:hAnsi="Calibri" w:cs="Times New Roman"/>
          <w:szCs w:val="24"/>
        </w:rPr>
        <w:t>Task Group</w:t>
      </w:r>
      <w:r w:rsidRPr="0075128B">
        <w:rPr>
          <w:rFonts w:ascii="Calibri" w:eastAsia="Calibri" w:hAnsi="Calibri" w:cs="Times New Roman"/>
          <w:szCs w:val="24"/>
        </w:rPr>
        <w:t xml:space="preserve"> noted that social audit concepts are becoming increasing</w:t>
      </w:r>
      <w:r w:rsidR="00E27547">
        <w:rPr>
          <w:rFonts w:ascii="Calibri" w:eastAsia="Calibri" w:hAnsi="Calibri" w:cs="Times New Roman"/>
          <w:szCs w:val="24"/>
        </w:rPr>
        <w:t>ly</w:t>
      </w:r>
      <w:r w:rsidRPr="0075128B">
        <w:rPr>
          <w:rFonts w:ascii="Calibri" w:eastAsia="Calibri" w:hAnsi="Calibri" w:cs="Times New Roman"/>
          <w:szCs w:val="24"/>
        </w:rPr>
        <w:t xml:space="preserve"> popular and relevant. The vital role of social audit for ensuring the </w:t>
      </w:r>
      <w:r w:rsidR="007471FA">
        <w:rPr>
          <w:rFonts w:ascii="Calibri" w:eastAsia="Calibri" w:hAnsi="Calibri" w:cs="Times New Roman"/>
          <w:szCs w:val="24"/>
        </w:rPr>
        <w:t xml:space="preserve">local </w:t>
      </w:r>
      <w:r w:rsidRPr="0075128B">
        <w:rPr>
          <w:rFonts w:ascii="Calibri" w:eastAsia="Calibri" w:hAnsi="Calibri" w:cs="Times New Roman"/>
          <w:szCs w:val="24"/>
        </w:rPr>
        <w:t>stakeholder’s role in grass root level planning of the public sector programmes</w:t>
      </w:r>
      <w:r>
        <w:rPr>
          <w:rFonts w:ascii="Calibri" w:eastAsia="Calibri" w:hAnsi="Calibri" w:cs="Times New Roman"/>
          <w:szCs w:val="24"/>
        </w:rPr>
        <w:t>,</w:t>
      </w:r>
      <w:r w:rsidRPr="0075128B">
        <w:rPr>
          <w:rFonts w:ascii="Calibri" w:eastAsia="Calibri" w:hAnsi="Calibri" w:cs="Times New Roman"/>
          <w:szCs w:val="24"/>
        </w:rPr>
        <w:t xml:space="preserve"> verification of deliverables and </w:t>
      </w:r>
      <w:r>
        <w:rPr>
          <w:rFonts w:ascii="Calibri" w:eastAsia="Calibri" w:hAnsi="Calibri" w:cs="Times New Roman"/>
          <w:szCs w:val="24"/>
        </w:rPr>
        <w:t xml:space="preserve">ensuring </w:t>
      </w:r>
      <w:r w:rsidRPr="0075128B">
        <w:rPr>
          <w:rFonts w:ascii="Calibri" w:eastAsia="Calibri" w:hAnsi="Calibri" w:cs="Times New Roman"/>
          <w:szCs w:val="24"/>
        </w:rPr>
        <w:t>accountability of the implementing agencies, besides a safeguard against corruption and frauds has been recognised. With the ever increasing outlays on the social sector programmes and the decentralised implementation, particularly by the rural and urban local self-government institutions, the participation of civil society in monitoring the implementation of the programmes</w:t>
      </w:r>
      <w:r w:rsidR="00990F4E">
        <w:rPr>
          <w:rFonts w:ascii="Calibri" w:eastAsia="Calibri" w:hAnsi="Calibri" w:cs="Times New Roman"/>
          <w:szCs w:val="24"/>
        </w:rPr>
        <w:t xml:space="preserve"> can</w:t>
      </w:r>
      <w:r w:rsidRPr="0075128B">
        <w:rPr>
          <w:rFonts w:ascii="Calibri" w:eastAsia="Calibri" w:hAnsi="Calibri" w:cs="Times New Roman"/>
          <w:szCs w:val="24"/>
        </w:rPr>
        <w:t xml:space="preserve">not be ignored. </w:t>
      </w:r>
    </w:p>
    <w:p w:rsidR="00990F4E" w:rsidRDefault="00990F4E" w:rsidP="00990F4E">
      <w:r>
        <w:t>S</w:t>
      </w:r>
      <w:r w:rsidRPr="00EF672C">
        <w:t>ocial audit initiatives fall into two categories – social audits to be carried out by Gram Sabhas/ Panchayats or local level Vigilance and Monitoring Committees</w:t>
      </w:r>
      <w:r>
        <w:t xml:space="preserve"> as stipulated by the Government in the guidelines of various social sector programmes</w:t>
      </w:r>
      <w:r w:rsidRPr="00EF672C">
        <w:t>, and those carried out by civil society groups</w:t>
      </w:r>
      <w:r>
        <w:t>. In both these types, the social auditors</w:t>
      </w:r>
      <w:r w:rsidRPr="00EF672C">
        <w:t xml:space="preserve"> are in a position to obtain direct </w:t>
      </w:r>
      <w:r w:rsidRPr="00EF672C">
        <w:lastRenderedPageBreak/>
        <w:t>feedback from beneficiaries on a large scale through Jan Sunwais, Sammelans and other oral evidence gathering methods to ascertain the outputs of social sector programmes and pinpoint grass</w:t>
      </w:r>
      <w:r>
        <w:t xml:space="preserve"> </w:t>
      </w:r>
      <w:r w:rsidRPr="00EF672C">
        <w:t>root level failures</w:t>
      </w:r>
      <w:r>
        <w:t>.</w:t>
      </w:r>
    </w:p>
    <w:p w:rsidR="00A213D5" w:rsidRDefault="00990F4E" w:rsidP="00A213D5">
      <w:pPr>
        <w:tabs>
          <w:tab w:val="left" w:pos="3390"/>
        </w:tabs>
        <w:rPr>
          <w:rFonts w:ascii="Calibri" w:eastAsia="Calibri" w:hAnsi="Calibri" w:cs="Times New Roman"/>
          <w:szCs w:val="24"/>
        </w:rPr>
      </w:pPr>
      <w:r>
        <w:rPr>
          <w:rFonts w:ascii="Calibri" w:eastAsia="Calibri" w:hAnsi="Calibri" w:cs="Times New Roman"/>
          <w:szCs w:val="24"/>
        </w:rPr>
        <w:t>Considering</w:t>
      </w:r>
      <w:r w:rsidR="00A213D5" w:rsidRPr="0075128B">
        <w:rPr>
          <w:rFonts w:ascii="Calibri" w:eastAsia="Calibri" w:hAnsi="Calibri" w:cs="Times New Roman"/>
          <w:szCs w:val="24"/>
        </w:rPr>
        <w:t xml:space="preserve"> the significant contribution by various social audit groups in ensuring accountability of the programme managers and implementing agencies</w:t>
      </w:r>
      <w:r>
        <w:rPr>
          <w:rFonts w:ascii="Calibri" w:eastAsia="Calibri" w:hAnsi="Calibri" w:cs="Times New Roman"/>
          <w:szCs w:val="24"/>
        </w:rPr>
        <w:t xml:space="preserve">, the </w:t>
      </w:r>
      <w:r w:rsidR="00A213D5" w:rsidRPr="0075128B">
        <w:rPr>
          <w:rFonts w:ascii="Calibri" w:eastAsia="Calibri" w:hAnsi="Calibri" w:cs="Times New Roman"/>
          <w:szCs w:val="24"/>
        </w:rPr>
        <w:t xml:space="preserve">Government of India has embedded social audit in </w:t>
      </w:r>
      <w:r>
        <w:rPr>
          <w:rFonts w:ascii="Calibri" w:eastAsia="Calibri" w:hAnsi="Calibri" w:cs="Times New Roman"/>
          <w:szCs w:val="24"/>
        </w:rPr>
        <w:t>one</w:t>
      </w:r>
      <w:r w:rsidR="00A213D5" w:rsidRPr="0075128B">
        <w:rPr>
          <w:rFonts w:ascii="Calibri" w:eastAsia="Calibri" w:hAnsi="Calibri" w:cs="Times New Roman"/>
          <w:szCs w:val="24"/>
        </w:rPr>
        <w:t xml:space="preserve"> form </w:t>
      </w:r>
      <w:r>
        <w:rPr>
          <w:rFonts w:ascii="Calibri" w:eastAsia="Calibri" w:hAnsi="Calibri" w:cs="Times New Roman"/>
          <w:szCs w:val="24"/>
        </w:rPr>
        <w:t>or the other in almost all the flagship</w:t>
      </w:r>
      <w:r w:rsidR="00A213D5" w:rsidRPr="0075128B">
        <w:rPr>
          <w:rFonts w:ascii="Calibri" w:eastAsia="Calibri" w:hAnsi="Calibri" w:cs="Times New Roman"/>
          <w:szCs w:val="24"/>
        </w:rPr>
        <w:t xml:space="preserve"> social sector programmes </w:t>
      </w:r>
      <w:r>
        <w:rPr>
          <w:rFonts w:ascii="Calibri" w:eastAsia="Calibri" w:hAnsi="Calibri" w:cs="Times New Roman"/>
          <w:szCs w:val="24"/>
        </w:rPr>
        <w:t xml:space="preserve">like NREGS (social audit by Gram Sabha), </w:t>
      </w:r>
      <w:r w:rsidR="00BA648A">
        <w:rPr>
          <w:rFonts w:ascii="Calibri" w:eastAsia="Calibri" w:hAnsi="Calibri" w:cs="Times New Roman"/>
          <w:szCs w:val="24"/>
        </w:rPr>
        <w:t>ARWSP (village monitoring committee), NRHM (village level monitoring committee), MDM (Mother---) etc.</w:t>
      </w:r>
    </w:p>
    <w:p w:rsidR="00A213D5" w:rsidRPr="00AA30D0" w:rsidRDefault="00A213D5" w:rsidP="009E54F1">
      <w:pPr>
        <w:pStyle w:val="Heading1"/>
      </w:pPr>
      <w:r w:rsidRPr="00AA30D0">
        <w:t xml:space="preserve">Positioning of social audit </w:t>
      </w:r>
    </w:p>
    <w:p w:rsidR="00C327A8" w:rsidRPr="0075128B" w:rsidRDefault="00C327A8" w:rsidP="00C327A8">
      <w:pPr>
        <w:tabs>
          <w:tab w:val="left" w:pos="3390"/>
        </w:tabs>
        <w:rPr>
          <w:rFonts w:ascii="Calibri" w:eastAsia="Calibri" w:hAnsi="Calibri" w:cs="Times New Roman"/>
          <w:szCs w:val="24"/>
        </w:rPr>
      </w:pPr>
      <w:r>
        <w:rPr>
          <w:rFonts w:ascii="Calibri" w:eastAsia="Calibri" w:hAnsi="Calibri" w:cs="Times New Roman"/>
          <w:szCs w:val="24"/>
        </w:rPr>
        <w:t>The Task Group studied the social audit practices of Gram Sabhas and civil society organisations and explored the modalities of assimilating social audit concepts and techniques in to the audit of CAG of India within the framework of the existing mandate.</w:t>
      </w:r>
    </w:p>
    <w:p w:rsidR="00A213D5" w:rsidRPr="0075128B" w:rsidRDefault="00A213D5" w:rsidP="00A213D5">
      <w:pPr>
        <w:tabs>
          <w:tab w:val="left" w:pos="3390"/>
        </w:tabs>
        <w:rPr>
          <w:rFonts w:ascii="Calibri" w:eastAsia="Calibri" w:hAnsi="Calibri" w:cs="Times New Roman"/>
          <w:szCs w:val="24"/>
        </w:rPr>
      </w:pPr>
      <w:r w:rsidRPr="0075128B">
        <w:rPr>
          <w:rFonts w:ascii="Calibri" w:eastAsia="Calibri" w:hAnsi="Calibri" w:cs="Times New Roman"/>
          <w:szCs w:val="24"/>
        </w:rPr>
        <w:t xml:space="preserve">The </w:t>
      </w:r>
      <w:r w:rsidR="00BA648A">
        <w:rPr>
          <w:rFonts w:ascii="Calibri" w:eastAsia="Calibri" w:hAnsi="Calibri" w:cs="Times New Roman"/>
          <w:szCs w:val="24"/>
        </w:rPr>
        <w:t>Group</w:t>
      </w:r>
      <w:r w:rsidRPr="0075128B">
        <w:rPr>
          <w:rFonts w:ascii="Calibri" w:eastAsia="Calibri" w:hAnsi="Calibri" w:cs="Times New Roman"/>
          <w:szCs w:val="24"/>
        </w:rPr>
        <w:t xml:space="preserve"> deliberated the issue of positioning of social audit within the three basic categorisation</w:t>
      </w:r>
      <w:r>
        <w:rPr>
          <w:rFonts w:ascii="Calibri" w:eastAsia="Calibri" w:hAnsi="Calibri" w:cs="Times New Roman"/>
          <w:szCs w:val="24"/>
        </w:rPr>
        <w:t>s</w:t>
      </w:r>
      <w:r w:rsidRPr="0075128B">
        <w:rPr>
          <w:rFonts w:ascii="Calibri" w:eastAsia="Calibri" w:hAnsi="Calibri" w:cs="Times New Roman"/>
          <w:szCs w:val="24"/>
        </w:rPr>
        <w:t xml:space="preserve"> of audit</w:t>
      </w:r>
      <w:r w:rsidR="00BA648A">
        <w:rPr>
          <w:rFonts w:ascii="Calibri" w:eastAsia="Calibri" w:hAnsi="Calibri" w:cs="Times New Roman"/>
          <w:szCs w:val="24"/>
        </w:rPr>
        <w:t xml:space="preserve"> </w:t>
      </w:r>
      <w:r w:rsidR="00BA648A" w:rsidRPr="00BA648A">
        <w:rPr>
          <w:rFonts w:ascii="Calibri" w:eastAsia="Calibri" w:hAnsi="Calibri" w:cs="Times New Roman"/>
          <w:i/>
          <w:iCs/>
          <w:szCs w:val="24"/>
        </w:rPr>
        <w:t>viz</w:t>
      </w:r>
      <w:r w:rsidR="00BA648A">
        <w:rPr>
          <w:rFonts w:ascii="Calibri" w:eastAsia="Calibri" w:hAnsi="Calibri" w:cs="Times New Roman"/>
          <w:szCs w:val="24"/>
        </w:rPr>
        <w:t>.</w:t>
      </w:r>
      <w:r w:rsidRPr="0075128B">
        <w:rPr>
          <w:rFonts w:ascii="Calibri" w:eastAsia="Calibri" w:hAnsi="Calibri" w:cs="Times New Roman"/>
          <w:szCs w:val="24"/>
        </w:rPr>
        <w:t xml:space="preserve"> financial, compliance and performance audits as its own distinct type. The classification of the type of audit is determined in the context of the audit objectives with reference to the generally accepted auditing standards. The objectives of social audit revolve around empowerment of the beneficiaries and directly affected stakeholders of the public sector programmes in matters of planning, implementation, delivery of services, appraisal, corruption and frauds, impact, etc. The social audit procedures provide a voice to the people to participate and be heard. Above all, social audit </w:t>
      </w:r>
      <w:r w:rsidR="00BA648A">
        <w:rPr>
          <w:rFonts w:ascii="Calibri" w:eastAsia="Calibri" w:hAnsi="Calibri" w:cs="Times New Roman"/>
          <w:szCs w:val="24"/>
        </w:rPr>
        <w:t>provides</w:t>
      </w:r>
      <w:r w:rsidRPr="0075128B">
        <w:rPr>
          <w:rFonts w:ascii="Calibri" w:eastAsia="Calibri" w:hAnsi="Calibri" w:cs="Times New Roman"/>
          <w:szCs w:val="24"/>
        </w:rPr>
        <w:t xml:space="preserve"> close to complete transparency to the entire gamut of programme management and renders the impact sustainable. It enables the people to view the decision making process and criteria adopted for various elements of the programme. </w:t>
      </w:r>
    </w:p>
    <w:p w:rsidR="00A213D5" w:rsidRPr="0075128B" w:rsidRDefault="00BA648A" w:rsidP="00A213D5">
      <w:pPr>
        <w:tabs>
          <w:tab w:val="left" w:pos="3390"/>
        </w:tabs>
        <w:rPr>
          <w:rFonts w:ascii="Calibri" w:eastAsia="Calibri" w:hAnsi="Calibri" w:cs="Times New Roman"/>
          <w:szCs w:val="24"/>
        </w:rPr>
      </w:pPr>
      <w:r>
        <w:rPr>
          <w:rFonts w:ascii="Calibri" w:eastAsia="Calibri" w:hAnsi="Calibri" w:cs="Times New Roman"/>
          <w:szCs w:val="24"/>
        </w:rPr>
        <w:t>The</w:t>
      </w:r>
      <w:r w:rsidR="00A213D5" w:rsidRPr="0075128B">
        <w:rPr>
          <w:rFonts w:ascii="Calibri" w:eastAsia="Calibri" w:hAnsi="Calibri" w:cs="Times New Roman"/>
          <w:szCs w:val="24"/>
        </w:rPr>
        <w:t xml:space="preserve"> </w:t>
      </w:r>
      <w:r>
        <w:rPr>
          <w:rFonts w:ascii="Calibri" w:eastAsia="Calibri" w:hAnsi="Calibri" w:cs="Times New Roman"/>
          <w:szCs w:val="24"/>
        </w:rPr>
        <w:t>Task Group</w:t>
      </w:r>
      <w:r w:rsidR="00A213D5" w:rsidRPr="0075128B">
        <w:rPr>
          <w:rFonts w:ascii="Calibri" w:eastAsia="Calibri" w:hAnsi="Calibri" w:cs="Times New Roman"/>
          <w:szCs w:val="24"/>
        </w:rPr>
        <w:t xml:space="preserve"> </w:t>
      </w:r>
      <w:r>
        <w:rPr>
          <w:rFonts w:ascii="Calibri" w:eastAsia="Calibri" w:hAnsi="Calibri" w:cs="Times New Roman"/>
          <w:szCs w:val="24"/>
        </w:rPr>
        <w:t>however, felt</w:t>
      </w:r>
      <w:r w:rsidR="00A213D5" w:rsidRPr="0075128B">
        <w:rPr>
          <w:rFonts w:ascii="Calibri" w:eastAsia="Calibri" w:hAnsi="Calibri" w:cs="Times New Roman"/>
          <w:szCs w:val="24"/>
        </w:rPr>
        <w:t xml:space="preserve"> that while social audit has a crucial position in the social </w:t>
      </w:r>
      <w:r>
        <w:rPr>
          <w:rFonts w:ascii="Calibri" w:eastAsia="Calibri" w:hAnsi="Calibri" w:cs="Times New Roman"/>
          <w:szCs w:val="24"/>
        </w:rPr>
        <w:t xml:space="preserve">sector </w:t>
      </w:r>
      <w:r w:rsidR="00A213D5" w:rsidRPr="0075128B">
        <w:rPr>
          <w:rFonts w:ascii="Calibri" w:eastAsia="Calibri" w:hAnsi="Calibri" w:cs="Times New Roman"/>
          <w:szCs w:val="24"/>
        </w:rPr>
        <w:t xml:space="preserve">programmes and even in ensuring corporate social responsibility, its objectives cannot in </w:t>
      </w:r>
      <w:r w:rsidRPr="0075128B">
        <w:rPr>
          <w:rFonts w:ascii="Calibri" w:eastAsia="Calibri" w:hAnsi="Calibri" w:cs="Times New Roman"/>
          <w:szCs w:val="24"/>
        </w:rPr>
        <w:t>standalone</w:t>
      </w:r>
      <w:r w:rsidR="00A213D5" w:rsidRPr="0075128B">
        <w:rPr>
          <w:rFonts w:ascii="Calibri" w:eastAsia="Calibri" w:hAnsi="Calibri" w:cs="Times New Roman"/>
          <w:szCs w:val="24"/>
        </w:rPr>
        <w:t xml:space="preserve"> mode</w:t>
      </w:r>
      <w:r>
        <w:rPr>
          <w:rFonts w:ascii="Calibri" w:eastAsia="Calibri" w:hAnsi="Calibri" w:cs="Times New Roman"/>
          <w:szCs w:val="24"/>
        </w:rPr>
        <w:t>,</w:t>
      </w:r>
      <w:r w:rsidR="00A213D5" w:rsidRPr="0075128B">
        <w:rPr>
          <w:rFonts w:ascii="Calibri" w:eastAsia="Calibri" w:hAnsi="Calibri" w:cs="Times New Roman"/>
          <w:szCs w:val="24"/>
        </w:rPr>
        <w:t xml:space="preserve"> sustain the complete audit objective of any of the three basi</w:t>
      </w:r>
      <w:r w:rsidR="00A213D5">
        <w:rPr>
          <w:rFonts w:ascii="Calibri" w:eastAsia="Calibri" w:hAnsi="Calibri" w:cs="Times New Roman"/>
          <w:szCs w:val="24"/>
        </w:rPr>
        <w:t>c</w:t>
      </w:r>
      <w:r w:rsidR="00A213D5" w:rsidRPr="0075128B">
        <w:rPr>
          <w:rFonts w:ascii="Calibri" w:eastAsia="Calibri" w:hAnsi="Calibri" w:cs="Times New Roman"/>
          <w:szCs w:val="24"/>
        </w:rPr>
        <w:t xml:space="preserve"> types of auditing. All the objectives and processes adopted for social audit will fit into the audit objectives of one or more of the three fundamental types of audits. Th</w:t>
      </w:r>
      <w:r>
        <w:rPr>
          <w:rFonts w:ascii="Calibri" w:eastAsia="Calibri" w:hAnsi="Calibri" w:cs="Times New Roman"/>
          <w:szCs w:val="24"/>
        </w:rPr>
        <w:t>erefore, social audit cann</w:t>
      </w:r>
      <w:r w:rsidR="00A213D5" w:rsidRPr="0075128B">
        <w:rPr>
          <w:rFonts w:ascii="Calibri" w:eastAsia="Calibri" w:hAnsi="Calibri" w:cs="Times New Roman"/>
          <w:szCs w:val="24"/>
        </w:rPr>
        <w:t xml:space="preserve">ot be a substitute for the public audit by the SAIs but can be subsumed within one or more of them to enhance the quality of the audits by CAG of India. Thus, social audit ought to be viewed as a technique or procedure to broaden the depth or spread of audit by IAAD rather than a distinct audit. From the point of view of our audit, use of social audit techniques or the social audit findings should be viewed as a means to strengthen the audit rather than a substitute for our audits. </w:t>
      </w:r>
    </w:p>
    <w:p w:rsidR="00A213D5" w:rsidRPr="00AA30D0" w:rsidRDefault="00A213D5" w:rsidP="00E86739">
      <w:pPr>
        <w:pStyle w:val="Heading2"/>
      </w:pPr>
      <w:r w:rsidRPr="00AA30D0">
        <w:t>Strength</w:t>
      </w:r>
    </w:p>
    <w:p w:rsidR="00A213D5" w:rsidRPr="0075128B" w:rsidRDefault="00BA648A" w:rsidP="00E86739">
      <w:pPr>
        <w:tabs>
          <w:tab w:val="left" w:pos="3390"/>
        </w:tabs>
        <w:rPr>
          <w:rFonts w:ascii="Calibri" w:eastAsia="Calibri" w:hAnsi="Calibri" w:cs="Times New Roman"/>
          <w:szCs w:val="24"/>
        </w:rPr>
      </w:pPr>
      <w:r>
        <w:rPr>
          <w:rFonts w:ascii="Calibri" w:eastAsia="Calibri" w:hAnsi="Calibri" w:cs="Times New Roman"/>
          <w:szCs w:val="24"/>
        </w:rPr>
        <w:t xml:space="preserve">Focus on outputs in social audit process, the directness of its inquisitions and the instantaneous interface and interlocution it provides among the beneficiaries and </w:t>
      </w:r>
      <w:r>
        <w:rPr>
          <w:rFonts w:ascii="Calibri" w:eastAsia="Calibri" w:hAnsi="Calibri" w:cs="Times New Roman"/>
          <w:szCs w:val="24"/>
        </w:rPr>
        <w:lastRenderedPageBreak/>
        <w:t xml:space="preserve">stakeholders of social sector programmes, has its unique strengths. </w:t>
      </w:r>
      <w:r w:rsidR="00A213D5" w:rsidRPr="0075128B">
        <w:rPr>
          <w:rFonts w:ascii="Calibri" w:eastAsia="Calibri" w:hAnsi="Calibri" w:cs="Times New Roman"/>
          <w:szCs w:val="24"/>
        </w:rPr>
        <w:t xml:space="preserve">The </w:t>
      </w:r>
      <w:r>
        <w:rPr>
          <w:rFonts w:ascii="Calibri" w:eastAsia="Calibri" w:hAnsi="Calibri" w:cs="Times New Roman"/>
          <w:szCs w:val="24"/>
        </w:rPr>
        <w:t>Task Group</w:t>
      </w:r>
      <w:r w:rsidR="00A213D5" w:rsidRPr="0075128B">
        <w:rPr>
          <w:rFonts w:ascii="Calibri" w:eastAsia="Calibri" w:hAnsi="Calibri" w:cs="Times New Roman"/>
          <w:szCs w:val="24"/>
        </w:rPr>
        <w:t xml:space="preserve"> noted that social audit provides an opportunity to plug a long felt gap in the audit process and techniques used by our Department. It provides the strongest and irrefutable direct evidence for inputs, processes, financial and physical reporting, compliance, physical verification, assurance against misuse, fraud and misappropriation, and utilisation of resources and assets. In addition, social audits also provide a forum for strengthening the democratic process in governance and grievance redressal. </w:t>
      </w:r>
      <w:r w:rsidR="00ED3C8A">
        <w:rPr>
          <w:rFonts w:ascii="Calibri" w:eastAsia="Calibri" w:hAnsi="Calibri" w:cs="Times New Roman"/>
          <w:szCs w:val="24"/>
        </w:rPr>
        <w:t>S</w:t>
      </w:r>
      <w:r w:rsidR="00A213D5" w:rsidRPr="0075128B">
        <w:rPr>
          <w:rFonts w:ascii="Calibri" w:eastAsia="Calibri" w:hAnsi="Calibri" w:cs="Times New Roman"/>
          <w:szCs w:val="24"/>
        </w:rPr>
        <w:t xml:space="preserve">ocial audit provides the most </w:t>
      </w:r>
      <w:r w:rsidR="007471FA">
        <w:rPr>
          <w:rFonts w:ascii="Calibri" w:eastAsia="Calibri" w:hAnsi="Calibri" w:cs="Times New Roman"/>
          <w:szCs w:val="24"/>
        </w:rPr>
        <w:t>important link between oral and documentary evidence and offers a</w:t>
      </w:r>
      <w:r w:rsidR="00A213D5" w:rsidRPr="0075128B">
        <w:rPr>
          <w:rFonts w:ascii="Calibri" w:eastAsia="Calibri" w:hAnsi="Calibri" w:cs="Times New Roman"/>
          <w:szCs w:val="24"/>
        </w:rPr>
        <w:t xml:space="preserve"> means of </w:t>
      </w:r>
      <w:r w:rsidR="007471FA">
        <w:rPr>
          <w:rFonts w:ascii="Calibri" w:eastAsia="Calibri" w:hAnsi="Calibri" w:cs="Times New Roman"/>
          <w:szCs w:val="24"/>
        </w:rPr>
        <w:t>securing</w:t>
      </w:r>
      <w:r w:rsidR="00A213D5" w:rsidRPr="0075128B">
        <w:rPr>
          <w:rFonts w:ascii="Calibri" w:eastAsia="Calibri" w:hAnsi="Calibri" w:cs="Times New Roman"/>
          <w:szCs w:val="24"/>
        </w:rPr>
        <w:t xml:space="preserve"> accountability of the managers of public sector programmes</w:t>
      </w:r>
      <w:r w:rsidR="00ED3C8A">
        <w:rPr>
          <w:rFonts w:ascii="Calibri" w:eastAsia="Calibri" w:hAnsi="Calibri" w:cs="Times New Roman"/>
          <w:szCs w:val="24"/>
        </w:rPr>
        <w:t xml:space="preserve"> and </w:t>
      </w:r>
      <w:r w:rsidR="00A213D5" w:rsidRPr="0075128B">
        <w:rPr>
          <w:rFonts w:ascii="Calibri" w:eastAsia="Calibri" w:hAnsi="Calibri" w:cs="Times New Roman"/>
          <w:szCs w:val="24"/>
        </w:rPr>
        <w:t xml:space="preserve">renders the monitoring and appraisal </w:t>
      </w:r>
      <w:r w:rsidR="00ED3C8A">
        <w:rPr>
          <w:rFonts w:ascii="Calibri" w:eastAsia="Calibri" w:hAnsi="Calibri" w:cs="Times New Roman"/>
          <w:szCs w:val="24"/>
        </w:rPr>
        <w:t>mechanism multi-perspective</w:t>
      </w:r>
      <w:r w:rsidR="00A213D5" w:rsidRPr="0075128B">
        <w:rPr>
          <w:rFonts w:ascii="Calibri" w:eastAsia="Calibri" w:hAnsi="Calibri" w:cs="Times New Roman"/>
          <w:szCs w:val="24"/>
        </w:rPr>
        <w:t xml:space="preserve"> and transparent.</w:t>
      </w:r>
    </w:p>
    <w:p w:rsidR="00A213D5" w:rsidRPr="00AA30D0" w:rsidRDefault="00A213D5" w:rsidP="00E86739">
      <w:pPr>
        <w:pStyle w:val="Heading2"/>
      </w:pPr>
      <w:r w:rsidRPr="00AA30D0">
        <w:t>Limitations</w:t>
      </w:r>
    </w:p>
    <w:p w:rsidR="00A213D5" w:rsidRPr="0075128B" w:rsidRDefault="00A213D5" w:rsidP="00E86739">
      <w:pPr>
        <w:tabs>
          <w:tab w:val="left" w:pos="3390"/>
        </w:tabs>
        <w:rPr>
          <w:rFonts w:ascii="Calibri" w:eastAsia="Calibri" w:hAnsi="Calibri" w:cs="Times New Roman"/>
          <w:szCs w:val="24"/>
        </w:rPr>
      </w:pPr>
      <w:r w:rsidRPr="0075128B">
        <w:rPr>
          <w:rFonts w:ascii="Calibri" w:eastAsia="Calibri" w:hAnsi="Calibri" w:cs="Times New Roman"/>
          <w:szCs w:val="24"/>
        </w:rPr>
        <w:t>While social audit</w:t>
      </w:r>
      <w:r w:rsidR="00DB23F2">
        <w:rPr>
          <w:rFonts w:ascii="Calibri" w:eastAsia="Calibri" w:hAnsi="Calibri" w:cs="Times New Roman"/>
          <w:szCs w:val="24"/>
        </w:rPr>
        <w:t>s lend</w:t>
      </w:r>
      <w:r w:rsidRPr="0075128B">
        <w:rPr>
          <w:rFonts w:ascii="Calibri" w:eastAsia="Calibri" w:hAnsi="Calibri" w:cs="Times New Roman"/>
          <w:szCs w:val="24"/>
        </w:rPr>
        <w:t xml:space="preserve"> a powerful tool for programme </w:t>
      </w:r>
      <w:r w:rsidR="00DB23F2">
        <w:rPr>
          <w:rFonts w:ascii="Calibri" w:eastAsia="Calibri" w:hAnsi="Calibri" w:cs="Times New Roman"/>
          <w:szCs w:val="24"/>
        </w:rPr>
        <w:t>audit</w:t>
      </w:r>
      <w:r w:rsidRPr="0075128B">
        <w:rPr>
          <w:rFonts w:ascii="Calibri" w:eastAsia="Calibri" w:hAnsi="Calibri" w:cs="Times New Roman"/>
          <w:szCs w:val="24"/>
        </w:rPr>
        <w:t xml:space="preserve"> and monitoring by the beneficiaries and direct stakeholders, its limitations should be recognised in determining its positioning in the public sector audit framework. The scope of social audits is intensive but highly localised and covers only certain selected aspects out of a wide range of audit concerns in the financial, compliance and performance audits.  These are also sporadic and ad hoc, except where broad-based monitoring by Gram Sabha has been embedded in the social sector programmes. Even in these cases, the monitoring is informal and unprocessed. Moreover, the documentation of social audits is not in a form as to provide consistent evidence. </w:t>
      </w:r>
      <w:r w:rsidR="00DB23F2">
        <w:rPr>
          <w:rFonts w:ascii="Calibri" w:eastAsia="Calibri" w:hAnsi="Calibri" w:cs="Times New Roman"/>
          <w:szCs w:val="24"/>
        </w:rPr>
        <w:t>T</w:t>
      </w:r>
      <w:r w:rsidRPr="0075128B">
        <w:rPr>
          <w:rFonts w:ascii="Calibri" w:eastAsia="Calibri" w:hAnsi="Calibri" w:cs="Times New Roman"/>
          <w:szCs w:val="24"/>
        </w:rPr>
        <w:t xml:space="preserve">he findings of social audit, unless carried out on a representative basis, cannot be either generalised </w:t>
      </w:r>
      <w:r w:rsidR="005C592A">
        <w:rPr>
          <w:rFonts w:ascii="Calibri" w:eastAsia="Calibri" w:hAnsi="Calibri" w:cs="Times New Roman"/>
          <w:szCs w:val="24"/>
        </w:rPr>
        <w:t>or</w:t>
      </w:r>
      <w:r w:rsidRPr="0075128B">
        <w:rPr>
          <w:rFonts w:ascii="Calibri" w:eastAsia="Calibri" w:hAnsi="Calibri" w:cs="Times New Roman"/>
          <w:szCs w:val="24"/>
        </w:rPr>
        <w:t xml:space="preserve"> estimations over the entire population be made. </w:t>
      </w:r>
    </w:p>
    <w:p w:rsidR="00A213D5" w:rsidRPr="00AA30D0" w:rsidRDefault="00A213D5" w:rsidP="00C00C3E">
      <w:pPr>
        <w:pStyle w:val="Heading1"/>
      </w:pPr>
      <w:r w:rsidRPr="00AA30D0">
        <w:t>Synergy and partnership</w:t>
      </w:r>
    </w:p>
    <w:p w:rsidR="005C592A" w:rsidRDefault="00A213D5" w:rsidP="00A213D5">
      <w:pPr>
        <w:tabs>
          <w:tab w:val="left" w:pos="3390"/>
        </w:tabs>
        <w:rPr>
          <w:rFonts w:ascii="Calibri" w:eastAsia="Calibri" w:hAnsi="Calibri" w:cs="Times New Roman"/>
          <w:szCs w:val="24"/>
        </w:rPr>
      </w:pPr>
      <w:r w:rsidRPr="0075128B">
        <w:rPr>
          <w:rFonts w:ascii="Calibri" w:eastAsia="Calibri" w:hAnsi="Calibri" w:cs="Times New Roman"/>
          <w:szCs w:val="24"/>
        </w:rPr>
        <w:t xml:space="preserve">The </w:t>
      </w:r>
      <w:r w:rsidR="00BA648A">
        <w:rPr>
          <w:rFonts w:ascii="Calibri" w:eastAsia="Calibri" w:hAnsi="Calibri" w:cs="Times New Roman"/>
          <w:szCs w:val="24"/>
        </w:rPr>
        <w:t>Task Group</w:t>
      </w:r>
      <w:r w:rsidRPr="0075128B">
        <w:rPr>
          <w:rFonts w:ascii="Calibri" w:eastAsia="Calibri" w:hAnsi="Calibri" w:cs="Times New Roman"/>
          <w:szCs w:val="24"/>
        </w:rPr>
        <w:t xml:space="preserve"> is of the opinion that recognising that social audits afford an opportunity to strengthen the micro level scrutiny of the programme planning, implementation and monitoring, </w:t>
      </w:r>
      <w:r>
        <w:rPr>
          <w:rFonts w:ascii="Calibri" w:eastAsia="Calibri" w:hAnsi="Calibri" w:cs="Times New Roman"/>
          <w:szCs w:val="24"/>
        </w:rPr>
        <w:t xml:space="preserve">it </w:t>
      </w:r>
      <w:r w:rsidRPr="0075128B">
        <w:rPr>
          <w:rFonts w:ascii="Calibri" w:eastAsia="Calibri" w:hAnsi="Calibri" w:cs="Times New Roman"/>
          <w:szCs w:val="24"/>
        </w:rPr>
        <w:t xml:space="preserve">should be brought into the mainstream of the auditing by the Indian Audit and Accounts Department as an essential process and tool in all </w:t>
      </w:r>
      <w:r w:rsidR="00C327A8">
        <w:rPr>
          <w:rFonts w:ascii="Calibri" w:eastAsia="Calibri" w:hAnsi="Calibri" w:cs="Times New Roman"/>
          <w:szCs w:val="24"/>
        </w:rPr>
        <w:t xml:space="preserve">the </w:t>
      </w:r>
      <w:r w:rsidRPr="0075128B">
        <w:rPr>
          <w:rFonts w:ascii="Calibri" w:eastAsia="Calibri" w:hAnsi="Calibri" w:cs="Times New Roman"/>
          <w:szCs w:val="24"/>
        </w:rPr>
        <w:t xml:space="preserve">performance audits of social sector programmes. It can also be placed in the mainstream of compliance audits of the social sector programmes to assist verification of compliance to the rules and assurance against frauds, corruption and misappropriation. </w:t>
      </w:r>
      <w:r w:rsidR="005C592A">
        <w:rPr>
          <w:rFonts w:ascii="Calibri" w:eastAsia="Calibri" w:hAnsi="Calibri" w:cs="Times New Roman"/>
          <w:szCs w:val="24"/>
        </w:rPr>
        <w:t>Further, it can facilitate association of CAG’s auditors with local fund auditors and Gram Sabhas</w:t>
      </w:r>
      <w:r w:rsidR="00C327A8">
        <w:rPr>
          <w:rFonts w:ascii="Calibri" w:eastAsia="Calibri" w:hAnsi="Calibri" w:cs="Times New Roman"/>
          <w:szCs w:val="24"/>
        </w:rPr>
        <w:t xml:space="preserve"> </w:t>
      </w:r>
      <w:r w:rsidR="005C592A">
        <w:rPr>
          <w:rFonts w:ascii="Calibri" w:eastAsia="Calibri" w:hAnsi="Calibri" w:cs="Times New Roman"/>
          <w:szCs w:val="24"/>
        </w:rPr>
        <w:t xml:space="preserve">/civil society organisations in certification of accounts of local governments. </w:t>
      </w:r>
    </w:p>
    <w:p w:rsidR="00A213D5" w:rsidRPr="0075128B" w:rsidRDefault="00A213D5" w:rsidP="00A213D5">
      <w:pPr>
        <w:tabs>
          <w:tab w:val="left" w:pos="3390"/>
        </w:tabs>
        <w:rPr>
          <w:rFonts w:ascii="Calibri" w:eastAsia="Calibri" w:hAnsi="Calibri" w:cs="Times New Roman"/>
          <w:szCs w:val="24"/>
        </w:rPr>
      </w:pPr>
      <w:r w:rsidRPr="0075128B">
        <w:rPr>
          <w:rFonts w:ascii="Calibri" w:eastAsia="Calibri" w:hAnsi="Calibri" w:cs="Times New Roman"/>
          <w:szCs w:val="24"/>
        </w:rPr>
        <w:t xml:space="preserve">Procedures should be established to necessarily build social audits into the scope of audit by way of utilisation of </w:t>
      </w:r>
      <w:r w:rsidR="005D720C">
        <w:rPr>
          <w:rFonts w:ascii="Calibri" w:eastAsia="Calibri" w:hAnsi="Calibri" w:cs="Times New Roman"/>
          <w:szCs w:val="24"/>
        </w:rPr>
        <w:t>voluntary</w:t>
      </w:r>
      <w:r w:rsidRPr="0075128B">
        <w:rPr>
          <w:rFonts w:ascii="Calibri" w:eastAsia="Calibri" w:hAnsi="Calibri" w:cs="Times New Roman"/>
          <w:szCs w:val="24"/>
        </w:rPr>
        <w:t xml:space="preserve"> or commissioned social audits. A protocol may be established for sustainable ongoing partnership with the major social audit organisations within the country and their findings used in developing the findings and conclusions as a standard procedure in all audits of the social sector programmes. In turn, the synergy protocol should also provide for assistance in capacity building of the social audit </w:t>
      </w:r>
      <w:r w:rsidR="003B323D">
        <w:rPr>
          <w:rFonts w:ascii="Calibri" w:eastAsia="Calibri" w:hAnsi="Calibri" w:cs="Times New Roman"/>
          <w:szCs w:val="24"/>
        </w:rPr>
        <w:t xml:space="preserve">groups </w:t>
      </w:r>
      <w:r w:rsidRPr="0075128B">
        <w:rPr>
          <w:rFonts w:ascii="Calibri" w:eastAsia="Calibri" w:hAnsi="Calibri" w:cs="Times New Roman"/>
          <w:szCs w:val="24"/>
        </w:rPr>
        <w:t xml:space="preserve">and encouraging social audits in the </w:t>
      </w:r>
      <w:r w:rsidR="003B323D">
        <w:rPr>
          <w:rFonts w:ascii="Calibri" w:eastAsia="Calibri" w:hAnsi="Calibri" w:cs="Times New Roman"/>
          <w:szCs w:val="24"/>
        </w:rPr>
        <w:t>S</w:t>
      </w:r>
      <w:r w:rsidRPr="0075128B">
        <w:rPr>
          <w:rFonts w:ascii="Calibri" w:eastAsia="Calibri" w:hAnsi="Calibri" w:cs="Times New Roman"/>
          <w:szCs w:val="24"/>
        </w:rPr>
        <w:t xml:space="preserve">tates where it has not taken off in a significant manner. </w:t>
      </w:r>
    </w:p>
    <w:p w:rsidR="00A213D5" w:rsidRPr="00AA30D0" w:rsidRDefault="00A213D5" w:rsidP="00C00C3E">
      <w:pPr>
        <w:pStyle w:val="Heading1"/>
      </w:pPr>
      <w:r w:rsidRPr="00AA30D0">
        <w:lastRenderedPageBreak/>
        <w:t>Approach and procedures</w:t>
      </w:r>
    </w:p>
    <w:p w:rsidR="00A213D5" w:rsidRDefault="00A213D5" w:rsidP="00A213D5">
      <w:pPr>
        <w:rPr>
          <w:rFonts w:ascii="Calibri" w:eastAsia="Calibri" w:hAnsi="Calibri" w:cs="Times New Roman"/>
          <w:szCs w:val="24"/>
        </w:rPr>
      </w:pPr>
      <w:r w:rsidRPr="0075128B">
        <w:rPr>
          <w:rFonts w:ascii="Calibri" w:eastAsia="Calibri" w:hAnsi="Calibri" w:cs="Times New Roman"/>
          <w:szCs w:val="24"/>
        </w:rPr>
        <w:t xml:space="preserve">The </w:t>
      </w:r>
      <w:r w:rsidR="00BA648A">
        <w:rPr>
          <w:rFonts w:ascii="Calibri" w:eastAsia="Calibri" w:hAnsi="Calibri" w:cs="Times New Roman"/>
          <w:szCs w:val="24"/>
        </w:rPr>
        <w:t>Task Group</w:t>
      </w:r>
      <w:r w:rsidRPr="0075128B">
        <w:rPr>
          <w:rFonts w:ascii="Calibri" w:eastAsia="Calibri" w:hAnsi="Calibri" w:cs="Times New Roman"/>
          <w:szCs w:val="24"/>
        </w:rPr>
        <w:t xml:space="preserve"> is of the opinion that the approach of our Department should be to take the social audit and social auditors on board </w:t>
      </w:r>
      <w:r w:rsidR="00C96CBE">
        <w:rPr>
          <w:rFonts w:ascii="Calibri" w:eastAsia="Calibri" w:hAnsi="Calibri" w:cs="Times New Roman"/>
          <w:szCs w:val="24"/>
        </w:rPr>
        <w:t>for</w:t>
      </w:r>
      <w:r w:rsidRPr="0075128B">
        <w:rPr>
          <w:rFonts w:ascii="Calibri" w:eastAsia="Calibri" w:hAnsi="Calibri" w:cs="Times New Roman"/>
          <w:szCs w:val="24"/>
        </w:rPr>
        <w:t xml:space="preserve"> mutual benefit, ultimately serving the cause of public good. The social auditors are likely to benefit by way of finding a place for their work in a wider and formal / legal forum of the CAG of India, ultimately adding value to their work. On the professional development level</w:t>
      </w:r>
      <w:r w:rsidR="00C96CBE">
        <w:rPr>
          <w:rFonts w:ascii="Calibri" w:eastAsia="Calibri" w:hAnsi="Calibri" w:cs="Times New Roman"/>
          <w:szCs w:val="24"/>
        </w:rPr>
        <w:t>,</w:t>
      </w:r>
      <w:r w:rsidRPr="0075128B">
        <w:rPr>
          <w:rFonts w:ascii="Calibri" w:eastAsia="Calibri" w:hAnsi="Calibri" w:cs="Times New Roman"/>
          <w:szCs w:val="24"/>
        </w:rPr>
        <w:t xml:space="preserve"> they </w:t>
      </w:r>
      <w:r w:rsidR="00C96CBE">
        <w:rPr>
          <w:rFonts w:ascii="Calibri" w:eastAsia="Calibri" w:hAnsi="Calibri" w:cs="Times New Roman"/>
          <w:szCs w:val="24"/>
        </w:rPr>
        <w:t>would</w:t>
      </w:r>
      <w:r w:rsidRPr="0075128B">
        <w:rPr>
          <w:rFonts w:ascii="Calibri" w:eastAsia="Calibri" w:hAnsi="Calibri" w:cs="Times New Roman"/>
          <w:szCs w:val="24"/>
        </w:rPr>
        <w:t xml:space="preserve"> also be benefited through their exposure to the techniques and objectives of the audits by the CAG of India. On our part</w:t>
      </w:r>
      <w:r w:rsidR="00C96CBE">
        <w:rPr>
          <w:rFonts w:ascii="Calibri" w:eastAsia="Calibri" w:hAnsi="Calibri" w:cs="Times New Roman"/>
          <w:szCs w:val="24"/>
        </w:rPr>
        <w:t>,</w:t>
      </w:r>
      <w:r w:rsidRPr="0075128B">
        <w:rPr>
          <w:rFonts w:ascii="Calibri" w:eastAsia="Calibri" w:hAnsi="Calibri" w:cs="Times New Roman"/>
          <w:szCs w:val="24"/>
        </w:rPr>
        <w:t xml:space="preserve"> one of the biggest limitations of not being able to reach the beneficiaries for their perception and verification of delivery of the programmes, including the existence of the community assets and their actual utilisation can be overcome in an effective manner. Besides, synergy with the social auditors will also provide </w:t>
      </w:r>
      <w:r w:rsidR="00C96CBE">
        <w:rPr>
          <w:rFonts w:ascii="Calibri" w:eastAsia="Calibri" w:hAnsi="Calibri" w:cs="Times New Roman"/>
          <w:szCs w:val="24"/>
        </w:rPr>
        <w:t>an</w:t>
      </w:r>
      <w:r w:rsidRPr="0075128B">
        <w:rPr>
          <w:rFonts w:ascii="Calibri" w:eastAsia="Calibri" w:hAnsi="Calibri" w:cs="Times New Roman"/>
          <w:szCs w:val="24"/>
        </w:rPr>
        <w:t xml:space="preserve"> opportunity </w:t>
      </w:r>
      <w:r w:rsidR="00C96CBE">
        <w:rPr>
          <w:rFonts w:ascii="Calibri" w:eastAsia="Calibri" w:hAnsi="Calibri" w:cs="Times New Roman"/>
          <w:szCs w:val="24"/>
        </w:rPr>
        <w:t>for</w:t>
      </w:r>
      <w:r w:rsidRPr="0075128B">
        <w:rPr>
          <w:rFonts w:ascii="Calibri" w:eastAsia="Calibri" w:hAnsi="Calibri" w:cs="Times New Roman"/>
          <w:szCs w:val="24"/>
        </w:rPr>
        <w:t xml:space="preserve"> dissemination of the role of the CAG of India in appraisal and monitoring of the public sector programmes.  Social audits afford an opportunity to our audit to carry out local oral verification, physical verification, apart from document verification. </w:t>
      </w:r>
    </w:p>
    <w:p w:rsidR="00B517A9" w:rsidRDefault="00275937" w:rsidP="00A213D5">
      <w:pPr>
        <w:rPr>
          <w:szCs w:val="24"/>
        </w:rPr>
      </w:pPr>
      <w:r>
        <w:rPr>
          <w:rFonts w:ascii="Calibri" w:eastAsia="Calibri" w:hAnsi="Calibri" w:cs="Times New Roman"/>
          <w:szCs w:val="24"/>
        </w:rPr>
        <w:t>We need to work towards</w:t>
      </w:r>
      <w:r w:rsidR="00B517A9">
        <w:rPr>
          <w:rFonts w:ascii="Calibri" w:eastAsia="Calibri" w:hAnsi="Calibri" w:cs="Times New Roman"/>
          <w:szCs w:val="24"/>
        </w:rPr>
        <w:t xml:space="preserve"> cooperation, coordination and synergy </w:t>
      </w:r>
      <w:r>
        <w:rPr>
          <w:rFonts w:ascii="Calibri" w:eastAsia="Calibri" w:hAnsi="Calibri" w:cs="Times New Roman"/>
          <w:szCs w:val="24"/>
        </w:rPr>
        <w:t xml:space="preserve">with the social audit groups to avoid duplication of work and </w:t>
      </w:r>
      <w:r w:rsidR="00B517A9">
        <w:rPr>
          <w:rFonts w:ascii="Calibri" w:eastAsia="Calibri" w:hAnsi="Calibri" w:cs="Times New Roman"/>
          <w:szCs w:val="24"/>
        </w:rPr>
        <w:t xml:space="preserve">use </w:t>
      </w:r>
      <w:r w:rsidR="00A02DCB">
        <w:rPr>
          <w:rFonts w:ascii="Calibri" w:eastAsia="Calibri" w:hAnsi="Calibri" w:cs="Times New Roman"/>
          <w:szCs w:val="24"/>
        </w:rPr>
        <w:t xml:space="preserve">the findings </w:t>
      </w:r>
      <w:r w:rsidR="00B517A9">
        <w:rPr>
          <w:rFonts w:ascii="Calibri" w:eastAsia="Calibri" w:hAnsi="Calibri" w:cs="Times New Roman"/>
          <w:szCs w:val="24"/>
        </w:rPr>
        <w:t xml:space="preserve">of social audit in </w:t>
      </w:r>
      <w:r>
        <w:rPr>
          <w:rFonts w:ascii="Calibri" w:eastAsia="Calibri" w:hAnsi="Calibri" w:cs="Times New Roman"/>
          <w:szCs w:val="24"/>
        </w:rPr>
        <w:t xml:space="preserve">all three types of audits being carried out by the IAAD. </w:t>
      </w:r>
      <w:r w:rsidR="00B517A9">
        <w:rPr>
          <w:rFonts w:ascii="Calibri" w:eastAsia="Calibri" w:hAnsi="Calibri" w:cs="Times New Roman"/>
          <w:szCs w:val="24"/>
        </w:rPr>
        <w:t xml:space="preserve">While our staff need not become a part of the social audit teams of Gram Sabha/ NGOs, participating as observers both in Gram Sabha meetings and </w:t>
      </w:r>
      <w:r w:rsidR="00B517A9" w:rsidRPr="00C96CBE">
        <w:rPr>
          <w:rFonts w:ascii="Calibri" w:eastAsia="Calibri" w:hAnsi="Calibri" w:cs="Times New Roman"/>
          <w:i/>
          <w:iCs/>
          <w:szCs w:val="24"/>
        </w:rPr>
        <w:t>Jan Sunwais /sammelans</w:t>
      </w:r>
      <w:r w:rsidR="00B517A9">
        <w:rPr>
          <w:rFonts w:ascii="Calibri" w:eastAsia="Calibri" w:hAnsi="Calibri" w:cs="Times New Roman"/>
          <w:szCs w:val="24"/>
        </w:rPr>
        <w:t xml:space="preserve"> organised by civil society groups within an approved structure of objective and norms of conduct could enhance our insight into the implementation of the programmes.</w:t>
      </w:r>
    </w:p>
    <w:p w:rsidR="009014AE" w:rsidRPr="0075128B" w:rsidRDefault="009014AE" w:rsidP="00A213D5">
      <w:pPr>
        <w:rPr>
          <w:rFonts w:ascii="Calibri" w:eastAsia="Calibri" w:hAnsi="Calibri" w:cs="Times New Roman"/>
          <w:szCs w:val="24"/>
        </w:rPr>
      </w:pPr>
      <w:r>
        <w:rPr>
          <w:szCs w:val="24"/>
        </w:rPr>
        <w:t>Considering that social audits happen largely around villages and mofussil towns, the closest IAAD link with social audit would be the State AsG, especially those dealing with the civil, works, and local bodies audits. AsG (commercial) dealing with audit of ‘utility’ PSUs in the power, water, mining, etc sectors should also be involved as necessary. RTIs and RTCs, wherever they exist, could provide the logistic support for mutual capacity building &amp; sensitisation of the civil society groups and government auditors. All these resources, especially given other demands on AsG agenda, would, however, be insufficient to cater to a vast emerging need for social audit. AsG involvement would therefore have to be selectively direct as well as indirect through facilitation and knowledge-sharing with other civil society organizations and knowledge institutions predominantly concerned with evaluation, analysis, advocacy, and capacity building at various levels. Care will have to be taken to exclude NGOs with political and sectarian agenda, and institutions with doctrinaire bias.</w:t>
      </w:r>
    </w:p>
    <w:p w:rsidR="00A213D5" w:rsidRPr="00AA30D0" w:rsidRDefault="00B517A9" w:rsidP="00C00C3E">
      <w:pPr>
        <w:pStyle w:val="Heading1"/>
      </w:pPr>
      <w:r>
        <w:t xml:space="preserve">Audit of </w:t>
      </w:r>
      <w:r w:rsidR="00A213D5" w:rsidRPr="00AA30D0">
        <w:t xml:space="preserve">Local </w:t>
      </w:r>
      <w:r w:rsidR="00275937">
        <w:t>S</w:t>
      </w:r>
      <w:r w:rsidR="00A213D5" w:rsidRPr="00AA30D0">
        <w:t xml:space="preserve">elf Governing </w:t>
      </w:r>
      <w:r>
        <w:t>I</w:t>
      </w:r>
      <w:r w:rsidR="00A213D5" w:rsidRPr="00AA30D0">
        <w:t>nstitutions</w:t>
      </w:r>
      <w:r w:rsidR="00A213D5">
        <w:t xml:space="preserve"> </w:t>
      </w:r>
    </w:p>
    <w:p w:rsidR="00A213D5" w:rsidRDefault="009014AE" w:rsidP="00B517A9">
      <w:pPr>
        <w:pStyle w:val="Quote"/>
        <w:spacing w:before="120" w:after="120" w:line="276" w:lineRule="auto"/>
        <w:jc w:val="both"/>
        <w:rPr>
          <w:i w:val="0"/>
          <w:iCs w:val="0"/>
          <w:sz w:val="24"/>
          <w:szCs w:val="24"/>
        </w:rPr>
      </w:pPr>
      <w:r>
        <w:rPr>
          <w:i w:val="0"/>
          <w:iCs w:val="0"/>
          <w:sz w:val="24"/>
          <w:szCs w:val="24"/>
        </w:rPr>
        <w:t xml:space="preserve">CAG of India probably has the widest audit jurisdiction amongst SAIs anywhere. However, the mandate of the CAG with regard to audit of accounts and transactions of the PRIs and ULBs and various non-government agencies/societies is nebulous and lacks clarity. With the GoI devolving substantial quantum of funds directly to the lower tiers of government and </w:t>
      </w:r>
      <w:r>
        <w:rPr>
          <w:i w:val="0"/>
          <w:iCs w:val="0"/>
          <w:sz w:val="24"/>
          <w:szCs w:val="24"/>
        </w:rPr>
        <w:lastRenderedPageBreak/>
        <w:t>other autonomous agencies and societies, there is a limitation to the role of government audit of the funds released to such agencies.</w:t>
      </w:r>
    </w:p>
    <w:p w:rsidR="009014AE" w:rsidRPr="00554363" w:rsidRDefault="009014AE" w:rsidP="00554363">
      <w:pPr>
        <w:rPr>
          <w:rFonts w:ascii="Calibri" w:hAnsi="Calibri"/>
          <w:szCs w:val="24"/>
        </w:rPr>
      </w:pPr>
      <w:r w:rsidRPr="009014AE">
        <w:rPr>
          <w:rFonts w:ascii="Calibri" w:hAnsi="Calibri"/>
          <w:szCs w:val="24"/>
        </w:rPr>
        <w:t xml:space="preserve">In 1994 all </w:t>
      </w:r>
      <w:r w:rsidR="00554363">
        <w:rPr>
          <w:rFonts w:ascii="Calibri" w:hAnsi="Calibri"/>
          <w:szCs w:val="24"/>
        </w:rPr>
        <w:t xml:space="preserve">the </w:t>
      </w:r>
      <w:r w:rsidRPr="009014AE">
        <w:rPr>
          <w:rFonts w:ascii="Calibri" w:hAnsi="Calibri"/>
          <w:szCs w:val="24"/>
        </w:rPr>
        <w:t>States in India amended their Panchayati Raj Acts to comply with the 73</w:t>
      </w:r>
      <w:r w:rsidRPr="009014AE">
        <w:rPr>
          <w:rFonts w:ascii="Calibri" w:hAnsi="Calibri"/>
          <w:szCs w:val="24"/>
          <w:vertAlign w:val="superscript"/>
        </w:rPr>
        <w:t>rd</w:t>
      </w:r>
      <w:r w:rsidRPr="009014AE">
        <w:rPr>
          <w:rFonts w:ascii="Calibri" w:hAnsi="Calibri"/>
          <w:szCs w:val="24"/>
        </w:rPr>
        <w:t xml:space="preserve"> and 74</w:t>
      </w:r>
      <w:r w:rsidRPr="009014AE">
        <w:rPr>
          <w:rFonts w:ascii="Calibri" w:hAnsi="Calibri"/>
          <w:szCs w:val="24"/>
          <w:vertAlign w:val="superscript"/>
        </w:rPr>
        <w:t>th</w:t>
      </w:r>
      <w:r w:rsidRPr="009014AE">
        <w:rPr>
          <w:rFonts w:ascii="Calibri" w:hAnsi="Calibri"/>
          <w:szCs w:val="24"/>
        </w:rPr>
        <w:t xml:space="preserve"> Constitutional Amendments in 1992/93. However, no model Act for </w:t>
      </w:r>
      <w:r w:rsidRPr="00554363">
        <w:rPr>
          <w:rFonts w:ascii="Calibri" w:hAnsi="Calibri"/>
          <w:iCs/>
          <w:szCs w:val="24"/>
        </w:rPr>
        <w:t xml:space="preserve">audit </w:t>
      </w:r>
      <w:r w:rsidRPr="009014AE">
        <w:rPr>
          <w:rFonts w:ascii="Calibri" w:hAnsi="Calibri"/>
          <w:szCs w:val="24"/>
        </w:rPr>
        <w:t>of local self government institutions (</w:t>
      </w:r>
      <w:r w:rsidR="00275937">
        <w:rPr>
          <w:rFonts w:ascii="Calibri" w:hAnsi="Calibri"/>
          <w:szCs w:val="24"/>
        </w:rPr>
        <w:t>P</w:t>
      </w:r>
      <w:r w:rsidRPr="009014AE">
        <w:rPr>
          <w:rFonts w:ascii="Calibri" w:hAnsi="Calibri"/>
          <w:szCs w:val="24"/>
        </w:rPr>
        <w:t>anchayats and municipalities) was circulated</w:t>
      </w:r>
      <w:r w:rsidRPr="00071768">
        <w:rPr>
          <w:sz w:val="28"/>
          <w:szCs w:val="28"/>
        </w:rPr>
        <w:t xml:space="preserve"> </w:t>
      </w:r>
      <w:r w:rsidRPr="002A1719">
        <w:rPr>
          <w:rFonts w:ascii="Calibri" w:hAnsi="Calibri"/>
          <w:szCs w:val="24"/>
        </w:rPr>
        <w:t>by the Union Ministry to the States. The existing Acts for audit of local bodies, originally legislated in 1870s, have been amended by individual States from time to time but never with a clear re-orientation to the role envisaged for local self government by the Constitutional Amendments in 1992/93.</w:t>
      </w:r>
      <w:r w:rsidR="00554363">
        <w:rPr>
          <w:rFonts w:ascii="Calibri" w:hAnsi="Calibri"/>
          <w:szCs w:val="24"/>
        </w:rPr>
        <w:t xml:space="preserve"> </w:t>
      </w:r>
      <w:r w:rsidRPr="00554363">
        <w:rPr>
          <w:rFonts w:ascii="Calibri" w:hAnsi="Calibri"/>
          <w:szCs w:val="24"/>
        </w:rPr>
        <w:t xml:space="preserve">They </w:t>
      </w:r>
      <w:r w:rsidR="00554363">
        <w:rPr>
          <w:rFonts w:ascii="Calibri" w:hAnsi="Calibri"/>
          <w:szCs w:val="24"/>
        </w:rPr>
        <w:t>still reflect the</w:t>
      </w:r>
      <w:r w:rsidRPr="00554363">
        <w:rPr>
          <w:rFonts w:ascii="Calibri" w:hAnsi="Calibri"/>
          <w:szCs w:val="24"/>
        </w:rPr>
        <w:t xml:space="preserve"> concern for control to be exercised over local authorities and self government institutions by the State Governments rather than accountability to the local citizens. They have archaic </w:t>
      </w:r>
      <w:r w:rsidR="00554363">
        <w:rPr>
          <w:rFonts w:ascii="Calibri" w:hAnsi="Calibri"/>
          <w:szCs w:val="24"/>
        </w:rPr>
        <w:t>provisions for</w:t>
      </w:r>
      <w:r w:rsidRPr="00554363">
        <w:rPr>
          <w:rFonts w:ascii="Calibri" w:hAnsi="Calibri"/>
          <w:szCs w:val="24"/>
        </w:rPr>
        <w:t>:</w:t>
      </w:r>
    </w:p>
    <w:p w:rsidR="009014AE" w:rsidRPr="002A1719" w:rsidRDefault="009014AE" w:rsidP="00554363">
      <w:pPr>
        <w:pStyle w:val="ListParagraph"/>
        <w:numPr>
          <w:ilvl w:val="1"/>
          <w:numId w:val="7"/>
        </w:numPr>
        <w:ind w:left="641" w:hanging="357"/>
        <w:contextualSpacing/>
        <w:rPr>
          <w:rFonts w:ascii="Calibri" w:hAnsi="Calibri"/>
          <w:szCs w:val="24"/>
        </w:rPr>
      </w:pPr>
      <w:r w:rsidRPr="002A1719">
        <w:rPr>
          <w:rFonts w:ascii="Calibri" w:hAnsi="Calibri"/>
          <w:szCs w:val="24"/>
        </w:rPr>
        <w:t>Hundred per cent check of vouchers annually, which is an impossible task for any audit system given the spread of panchayats and municipalities and the increasing volume of work;</w:t>
      </w:r>
    </w:p>
    <w:p w:rsidR="009014AE" w:rsidRPr="002A1719" w:rsidRDefault="009014AE" w:rsidP="00554363">
      <w:pPr>
        <w:pStyle w:val="ListParagraph"/>
        <w:numPr>
          <w:ilvl w:val="1"/>
          <w:numId w:val="7"/>
        </w:numPr>
        <w:ind w:left="641" w:hanging="357"/>
        <w:contextualSpacing/>
        <w:rPr>
          <w:rFonts w:ascii="Calibri" w:hAnsi="Calibri"/>
          <w:szCs w:val="24"/>
        </w:rPr>
      </w:pPr>
      <w:r w:rsidRPr="002A1719">
        <w:rPr>
          <w:rFonts w:ascii="Calibri" w:hAnsi="Calibri"/>
          <w:szCs w:val="24"/>
        </w:rPr>
        <w:t>Disallowances and surcharges – which are more oriented to safeguarding State Government funds/conditions in sanctions related to items of expenditure allowed to be spent from the grants to local bodies  and for imposing penalties on self government institutions as a whole instead of fixing responsibility on individuals within the self governing institution. Experience shows little settlement of disallowances and poor payment of surcharges imposed.</w:t>
      </w:r>
    </w:p>
    <w:p w:rsidR="009014AE" w:rsidRDefault="00554363" w:rsidP="009014AE">
      <w:pPr>
        <w:rPr>
          <w:rFonts w:ascii="Calibri" w:hAnsi="Calibri"/>
          <w:szCs w:val="24"/>
        </w:rPr>
      </w:pPr>
      <w:r>
        <w:rPr>
          <w:rFonts w:ascii="Calibri" w:hAnsi="Calibri"/>
          <w:szCs w:val="24"/>
        </w:rPr>
        <w:t xml:space="preserve">Further, </w:t>
      </w:r>
      <w:r w:rsidR="009014AE" w:rsidRPr="002A1719">
        <w:rPr>
          <w:rFonts w:ascii="Calibri" w:hAnsi="Calibri"/>
          <w:szCs w:val="24"/>
        </w:rPr>
        <w:t>Directors/Examiners of LFA report to the Secretaries of State Government Panchayati Raj/Finance Department and are not constituted as independent auditors</w:t>
      </w:r>
      <w:r>
        <w:rPr>
          <w:rFonts w:ascii="Calibri" w:hAnsi="Calibri"/>
          <w:szCs w:val="24"/>
        </w:rPr>
        <w:t>.</w:t>
      </w:r>
    </w:p>
    <w:p w:rsidR="005179AB" w:rsidRPr="005179AB" w:rsidRDefault="005179AB" w:rsidP="005179AB">
      <w:pPr>
        <w:rPr>
          <w:rFonts w:ascii="Calibri" w:hAnsi="Calibri"/>
          <w:szCs w:val="24"/>
        </w:rPr>
      </w:pPr>
      <w:r w:rsidRPr="005179AB">
        <w:rPr>
          <w:rFonts w:ascii="Calibri" w:hAnsi="Calibri"/>
          <w:szCs w:val="24"/>
        </w:rPr>
        <w:t xml:space="preserve">By and large, CAG does NOT certify the accounts of local self government institutions, though he does certify accounts of many other local authorities like boards/universities etc. However, CAG is involved in the audit certification of accounts of local bodies right up to gram panchayats in West Bengal and Bihar. In Rajasthan, Director, Local Fund Audit certifies the accounts and there is a provision for AG to test check the accounts. Karnataka has a provision for audit of accounts of Zilla Panchayats/Municipal Councils and Panchayat Samities/Palikas by CAG but not of GPs. In all States, CAG provides, with the consent of State Governments, technical guidance and support for audit of local bodies under LFA Acts. Karnataka has recently enacted a Local Fund Authorities Fiscal Responsibility Act in 2003 which provides, among other things, for strengthening internal audit systems. </w:t>
      </w:r>
    </w:p>
    <w:p w:rsidR="005179AB" w:rsidRPr="005179AB" w:rsidRDefault="005179AB" w:rsidP="005179AB">
      <w:pPr>
        <w:rPr>
          <w:rFonts w:ascii="Calibri" w:hAnsi="Calibri"/>
          <w:szCs w:val="24"/>
        </w:rPr>
      </w:pPr>
      <w:r w:rsidRPr="005179AB">
        <w:rPr>
          <w:rFonts w:ascii="Calibri" w:hAnsi="Calibri"/>
          <w:szCs w:val="24"/>
        </w:rPr>
        <w:t>The 11</w:t>
      </w:r>
      <w:r w:rsidRPr="005179AB">
        <w:rPr>
          <w:rFonts w:ascii="Calibri" w:hAnsi="Calibri"/>
          <w:szCs w:val="24"/>
          <w:vertAlign w:val="superscript"/>
        </w:rPr>
        <w:t>th</w:t>
      </w:r>
      <w:r w:rsidRPr="005179AB">
        <w:rPr>
          <w:rFonts w:ascii="Calibri" w:hAnsi="Calibri"/>
          <w:szCs w:val="24"/>
        </w:rPr>
        <w:t xml:space="preserve"> Finance Commission found this state of affairs highly unsatisfactory and recommended that CAG should be entrusted with the responsibility of excercising control and supervision over the maintenance of accounts and their audit for all the tiers of panchayats /urban local bodies. The recommendations were accepted by GOI and CAG acted on some of them (i) to create a data base of their finances and (ii) obtained consent of State Governments to provide technical guidance and supervision to LFA, including training.  However, except in Bihar and West Bengal, nowhere has administrative supervision or </w:t>
      </w:r>
      <w:r w:rsidRPr="005179AB">
        <w:rPr>
          <w:rFonts w:ascii="Calibri" w:hAnsi="Calibri"/>
          <w:szCs w:val="24"/>
        </w:rPr>
        <w:lastRenderedPageBreak/>
        <w:t>control of Directors of LFA been vested with CAG. Comparing the several recommendations with all that has been done by Union and State Governments, it would seem that neither has the independence of LFA been granted, nor contracting out the work to agencies/persons where trained staff was not available, ever been done. We are not aware whether the Rs 4000 per panchayat per annum on an average for maintenance of accounts &amp; audit has been paid as part of the grants recommended by the Commission for rural local bodies, though these were recommended to be the first charge on the grants.</w:t>
      </w:r>
    </w:p>
    <w:p w:rsidR="005179AB" w:rsidRPr="005179AB" w:rsidRDefault="005179AB" w:rsidP="00B517A9">
      <w:pPr>
        <w:rPr>
          <w:rFonts w:ascii="Calibri" w:hAnsi="Calibri"/>
          <w:szCs w:val="24"/>
        </w:rPr>
      </w:pPr>
      <w:r w:rsidRPr="005179AB">
        <w:rPr>
          <w:rFonts w:ascii="Calibri" w:hAnsi="Calibri"/>
          <w:szCs w:val="24"/>
        </w:rPr>
        <w:t>The Second Administrative Reforms Commission on Local Bodies, in its 6</w:t>
      </w:r>
      <w:r w:rsidRPr="005179AB">
        <w:rPr>
          <w:rFonts w:ascii="Calibri" w:hAnsi="Calibri"/>
          <w:szCs w:val="24"/>
          <w:vertAlign w:val="superscript"/>
        </w:rPr>
        <w:t>th</w:t>
      </w:r>
      <w:r w:rsidRPr="005179AB">
        <w:rPr>
          <w:rFonts w:ascii="Calibri" w:hAnsi="Calibri"/>
          <w:szCs w:val="24"/>
        </w:rPr>
        <w:t xml:space="preserve"> Report, has focused more on urban local bodies and recommended, among other things, that the existing arrangements for technical guidance and supervision of CAG to LFA should be institutionalized by making provisions in the State laws. Access to relevant information/records to DLFA /designated authority for conducting audit or the CAG should be ensured by incorporating provisions in the State laws governing local bodies.</w:t>
      </w:r>
    </w:p>
    <w:p w:rsidR="005179AB" w:rsidRPr="005179AB" w:rsidRDefault="005179AB" w:rsidP="005179AB">
      <w:pPr>
        <w:rPr>
          <w:rFonts w:ascii="Calibri" w:hAnsi="Calibri"/>
          <w:szCs w:val="24"/>
        </w:rPr>
      </w:pPr>
      <w:r w:rsidRPr="005179AB">
        <w:rPr>
          <w:rFonts w:ascii="Calibri" w:hAnsi="Calibri"/>
          <w:szCs w:val="24"/>
        </w:rPr>
        <w:t>CAG has meanwhile developed documentation on auditing standards, guidelines for certification, manual of instructions, training modules and a simplified accounting system for PRIs.</w:t>
      </w:r>
      <w:r>
        <w:rPr>
          <w:rFonts w:ascii="Calibri" w:hAnsi="Calibri"/>
          <w:szCs w:val="24"/>
        </w:rPr>
        <w:t xml:space="preserve"> </w:t>
      </w:r>
      <w:r w:rsidRPr="005179AB">
        <w:rPr>
          <w:rFonts w:ascii="Calibri" w:hAnsi="Calibri"/>
          <w:szCs w:val="24"/>
        </w:rPr>
        <w:t xml:space="preserve">Nevertheless, the annual certification of </w:t>
      </w:r>
      <w:r>
        <w:rPr>
          <w:rFonts w:ascii="Calibri" w:hAnsi="Calibri"/>
          <w:szCs w:val="24"/>
        </w:rPr>
        <w:t>G</w:t>
      </w:r>
      <w:r w:rsidRPr="005179AB">
        <w:rPr>
          <w:rFonts w:ascii="Calibri" w:hAnsi="Calibri"/>
          <w:szCs w:val="24"/>
        </w:rPr>
        <w:t xml:space="preserve">ram </w:t>
      </w:r>
      <w:r>
        <w:rPr>
          <w:rFonts w:ascii="Calibri" w:hAnsi="Calibri"/>
          <w:szCs w:val="24"/>
        </w:rPr>
        <w:t>P</w:t>
      </w:r>
      <w:r w:rsidRPr="005179AB">
        <w:rPr>
          <w:rFonts w:ascii="Calibri" w:hAnsi="Calibri"/>
          <w:szCs w:val="24"/>
        </w:rPr>
        <w:t xml:space="preserve">anchayat accounts by LFAs remains by and large a matter of stamping a certificate and the diligence expected of local fund auditors is sorely missing. </w:t>
      </w:r>
    </w:p>
    <w:p w:rsidR="00527D43" w:rsidRDefault="00527D43" w:rsidP="005179AB">
      <w:pPr>
        <w:rPr>
          <w:rFonts w:ascii="Calibri" w:hAnsi="Calibri"/>
          <w:szCs w:val="24"/>
        </w:rPr>
      </w:pPr>
      <w:r w:rsidRPr="0075128B">
        <w:rPr>
          <w:rFonts w:ascii="Calibri" w:eastAsia="Calibri" w:hAnsi="Calibri" w:cs="Times New Roman"/>
          <w:szCs w:val="24"/>
        </w:rPr>
        <w:t xml:space="preserve">The </w:t>
      </w:r>
      <w:r>
        <w:rPr>
          <w:rFonts w:ascii="Calibri" w:eastAsia="Calibri" w:hAnsi="Calibri" w:cs="Times New Roman"/>
          <w:szCs w:val="24"/>
        </w:rPr>
        <w:t>Task Group</w:t>
      </w:r>
      <w:r w:rsidRPr="0075128B">
        <w:rPr>
          <w:rFonts w:ascii="Calibri" w:eastAsia="Calibri" w:hAnsi="Calibri" w:cs="Times New Roman"/>
          <w:szCs w:val="24"/>
        </w:rPr>
        <w:t xml:space="preserve"> noted the severe limitations placed on the audit of the social sector programmes, large number of which is implemented by the PRI and ULB institutions, on account of mandate limitation and volume of work coupled with the inadequate capacity of the auditing institutions in the state governments entrusted with audit of the local self governing bodies. The </w:t>
      </w:r>
      <w:r>
        <w:rPr>
          <w:rFonts w:ascii="Calibri" w:eastAsia="Calibri" w:hAnsi="Calibri" w:cs="Times New Roman"/>
          <w:szCs w:val="24"/>
        </w:rPr>
        <w:t>Task Group</w:t>
      </w:r>
      <w:r w:rsidRPr="0075128B">
        <w:rPr>
          <w:rFonts w:ascii="Calibri" w:eastAsia="Calibri" w:hAnsi="Calibri" w:cs="Times New Roman"/>
          <w:szCs w:val="24"/>
        </w:rPr>
        <w:t xml:space="preserve"> is of the opinion that there is a need for amending the laws relating to local fund audit to provide for complete access and control over the audits of the PRI and ULBs in all states to ensure good quality audit of uniform standards. The existing TGS approach fails to provide assurance for audit oversight through application of uniform auditing standards. </w:t>
      </w:r>
      <w:r>
        <w:rPr>
          <w:rFonts w:ascii="Calibri" w:eastAsia="Calibri" w:hAnsi="Calibri" w:cs="Times New Roman"/>
          <w:szCs w:val="24"/>
        </w:rPr>
        <w:t>Introduction of social audit as a standard addendum to the audits may mitigate some of the limitations due to the mandate and the magnitude of the task.</w:t>
      </w:r>
    </w:p>
    <w:p w:rsidR="005179AB" w:rsidRPr="005179AB" w:rsidRDefault="005179AB" w:rsidP="005179AB">
      <w:pPr>
        <w:rPr>
          <w:rFonts w:ascii="Calibri" w:hAnsi="Calibri"/>
          <w:szCs w:val="24"/>
          <w:lang w:bidi="hi-IN"/>
        </w:rPr>
      </w:pPr>
      <w:r w:rsidRPr="005179AB">
        <w:rPr>
          <w:rFonts w:ascii="Calibri" w:hAnsi="Calibri"/>
          <w:szCs w:val="24"/>
        </w:rPr>
        <w:t>As a first step, what is required is the social orientation of CAG/LFA auditors. This is possible in the wake of social audit campaigns by civil society organizations. Space for social audit has been created both by the Constitutional Amendments whi</w:t>
      </w:r>
      <w:r w:rsidR="006A1627">
        <w:rPr>
          <w:rFonts w:ascii="Calibri" w:hAnsi="Calibri"/>
          <w:szCs w:val="24"/>
        </w:rPr>
        <w:t>ch ordained that accounts of a G</w:t>
      </w:r>
      <w:r w:rsidRPr="005179AB">
        <w:rPr>
          <w:rFonts w:ascii="Calibri" w:hAnsi="Calibri"/>
          <w:szCs w:val="24"/>
        </w:rPr>
        <w:t xml:space="preserve">ram </w:t>
      </w:r>
      <w:r w:rsidR="006A1627">
        <w:rPr>
          <w:rFonts w:ascii="Calibri" w:hAnsi="Calibri"/>
          <w:szCs w:val="24"/>
        </w:rPr>
        <w:t>P</w:t>
      </w:r>
      <w:r w:rsidRPr="005179AB">
        <w:rPr>
          <w:rFonts w:ascii="Calibri" w:hAnsi="Calibri"/>
          <w:szCs w:val="24"/>
        </w:rPr>
        <w:t>anchayat be placed before a Gram Sabha and by the RTI Act 2005. NREGA</w:t>
      </w:r>
      <w:r w:rsidR="006A1627">
        <w:rPr>
          <w:rFonts w:ascii="Calibri" w:hAnsi="Calibri"/>
          <w:szCs w:val="24"/>
        </w:rPr>
        <w:t xml:space="preserve"> </w:t>
      </w:r>
      <w:r w:rsidRPr="005179AB">
        <w:rPr>
          <w:rFonts w:ascii="Calibri" w:hAnsi="Calibri"/>
          <w:szCs w:val="24"/>
        </w:rPr>
        <w:t xml:space="preserve"> and the accompanying Rules have provided for social audit. State Governments of Rajasthan and Andhra Pradesh have taken the initiative to incorporate social audit as part of their monitoring systems </w:t>
      </w:r>
      <w:r w:rsidR="006A1627">
        <w:rPr>
          <w:rFonts w:ascii="Calibri" w:hAnsi="Calibri"/>
          <w:szCs w:val="24"/>
        </w:rPr>
        <w:t xml:space="preserve">both through social audits through Gram Sabhas and </w:t>
      </w:r>
      <w:r w:rsidRPr="005179AB">
        <w:rPr>
          <w:rFonts w:ascii="Calibri" w:hAnsi="Calibri"/>
          <w:szCs w:val="24"/>
        </w:rPr>
        <w:t xml:space="preserve">in partnership with a consortium of NGOs in the respective States. Given these highly acclaimed initiatives, it is possible for LFA and CAG auditors to associate themselves with various activities in the social audit process in these States. The experience in Rajasthan has shown that LFA auditors gain immensely from the oral evidence tendered at the public hearings which are </w:t>
      </w:r>
      <w:r w:rsidRPr="005179AB">
        <w:rPr>
          <w:rFonts w:ascii="Calibri" w:hAnsi="Calibri"/>
          <w:szCs w:val="24"/>
        </w:rPr>
        <w:lastRenderedPageBreak/>
        <w:t>part of the social audit process. Participation sensitizes them and helps them realize that accountability is not just a part but the prime driving force of good governance. The diligence required for any certification by auditors is then exercised by them with much greater care.</w:t>
      </w:r>
    </w:p>
    <w:p w:rsidR="00527D43" w:rsidRPr="00527D43" w:rsidRDefault="00527D43" w:rsidP="00527D43">
      <w:pPr>
        <w:rPr>
          <w:rFonts w:ascii="Calibri" w:hAnsi="Calibri"/>
          <w:szCs w:val="24"/>
        </w:rPr>
      </w:pPr>
      <w:r w:rsidRPr="00527D43">
        <w:rPr>
          <w:rFonts w:ascii="Calibri" w:hAnsi="Calibri"/>
          <w:szCs w:val="24"/>
        </w:rPr>
        <w:t xml:space="preserve">As more and more States emulate the Rajasthan </w:t>
      </w:r>
      <w:r>
        <w:rPr>
          <w:rFonts w:ascii="Calibri" w:hAnsi="Calibri"/>
          <w:szCs w:val="24"/>
        </w:rPr>
        <w:t>and</w:t>
      </w:r>
      <w:r w:rsidRPr="00527D43">
        <w:rPr>
          <w:rFonts w:ascii="Calibri" w:hAnsi="Calibri"/>
          <w:szCs w:val="24"/>
        </w:rPr>
        <w:t xml:space="preserve"> AP initiatives , and social audit</w:t>
      </w:r>
      <w:r>
        <w:rPr>
          <w:rFonts w:ascii="Calibri" w:hAnsi="Calibri"/>
          <w:szCs w:val="24"/>
        </w:rPr>
        <w:t>s</w:t>
      </w:r>
      <w:r w:rsidRPr="00527D43">
        <w:rPr>
          <w:rFonts w:ascii="Calibri" w:hAnsi="Calibri"/>
          <w:szCs w:val="24"/>
        </w:rPr>
        <w:t xml:space="preserve"> gain momentum to spread across schemes and program</w:t>
      </w:r>
      <w:r>
        <w:rPr>
          <w:rFonts w:ascii="Calibri" w:hAnsi="Calibri"/>
          <w:szCs w:val="24"/>
        </w:rPr>
        <w:t>mes</w:t>
      </w:r>
      <w:r w:rsidRPr="00527D43">
        <w:rPr>
          <w:rFonts w:ascii="Calibri" w:hAnsi="Calibri"/>
          <w:szCs w:val="24"/>
        </w:rPr>
        <w:t xml:space="preserve">, it will be administratively necessary to revamp the legal provisions of the LFA Acts. These must build on the participation of auditors in the social audit process as observers and the judgment of the auditor, based on observations on the ground and from </w:t>
      </w:r>
      <w:r>
        <w:rPr>
          <w:rFonts w:ascii="Calibri" w:hAnsi="Calibri"/>
          <w:szCs w:val="24"/>
        </w:rPr>
        <w:t xml:space="preserve">an examination of </w:t>
      </w:r>
      <w:r w:rsidRPr="00527D43">
        <w:rPr>
          <w:rFonts w:ascii="Calibri" w:hAnsi="Calibri"/>
          <w:szCs w:val="24"/>
        </w:rPr>
        <w:t xml:space="preserve">papers, whether the matter is serious enough to call for </w:t>
      </w:r>
      <w:r>
        <w:rPr>
          <w:rFonts w:ascii="Calibri" w:hAnsi="Calibri"/>
          <w:szCs w:val="24"/>
        </w:rPr>
        <w:t>an adverse</w:t>
      </w:r>
      <w:r w:rsidRPr="00527D43">
        <w:rPr>
          <w:rFonts w:ascii="Calibri" w:hAnsi="Calibri"/>
          <w:szCs w:val="24"/>
        </w:rPr>
        <w:t xml:space="preserve"> certificate or a qualified certificate, noting the FIRs lodged etc. A mechanism to ensure that the reservations of the auditor are acted on within a period of 3 months by the administrative offices (including police) will have to be introduced in LFA Acts.  </w:t>
      </w:r>
    </w:p>
    <w:p w:rsidR="00A213D5" w:rsidRDefault="00527D43" w:rsidP="00527D43">
      <w:pPr>
        <w:rPr>
          <w:rFonts w:ascii="Calibri" w:eastAsia="Calibri" w:hAnsi="Calibri" w:cs="Times New Roman"/>
          <w:szCs w:val="24"/>
        </w:rPr>
      </w:pPr>
      <w:r w:rsidRPr="00527D43">
        <w:rPr>
          <w:rFonts w:ascii="Calibri" w:hAnsi="Calibri"/>
          <w:szCs w:val="24"/>
        </w:rPr>
        <w:t>It must be noted that from the point of view of CAG, a piquant situation might develop in Bihar and West Bengal where the AGs are in direct administrative and technical control of local fund audit. Despite the best efforts of some of the officers, the certification of accounts even in these States is far from satisfactory. The participation of LFA ie. CAG auditors in these States, in any process of social audit, might be vexed by misconstrued questions about the internal/external divide as we understand it in the audit profession with reference to objectivity/independence of the auditor</w:t>
      </w:r>
      <w:r>
        <w:rPr>
          <w:sz w:val="28"/>
          <w:szCs w:val="28"/>
        </w:rPr>
        <w:t>.</w:t>
      </w:r>
    </w:p>
    <w:p w:rsidR="00A213D5" w:rsidRDefault="00E86739" w:rsidP="00A213D5">
      <w:pPr>
        <w:pStyle w:val="Heading1"/>
      </w:pPr>
      <w:r>
        <w:t>Recommendations</w:t>
      </w:r>
    </w:p>
    <w:p w:rsidR="00E86739" w:rsidRDefault="00FF0DF0" w:rsidP="00FF0DF0">
      <w:pPr>
        <w:pStyle w:val="ListParagraph"/>
        <w:numPr>
          <w:ilvl w:val="0"/>
          <w:numId w:val="3"/>
        </w:numPr>
      </w:pPr>
      <w:r>
        <w:t>Social audit strengthens and adds depth to CAG’s audits and should be mainstreamed into our processes for audit of all social sector programmes. This should cover not only NREG</w:t>
      </w:r>
      <w:r w:rsidR="00A02DCB">
        <w:t>S</w:t>
      </w:r>
      <w:r>
        <w:t xml:space="preserve"> (for which a social audit process has been mandated) but also other social sector programmes like NRHM, SSA, ARWSP etc.</w:t>
      </w:r>
    </w:p>
    <w:p w:rsidR="00FF0DF0" w:rsidRDefault="001A77B1" w:rsidP="00FF0DF0">
      <w:pPr>
        <w:pStyle w:val="ListParagraph"/>
        <w:numPr>
          <w:ilvl w:val="0"/>
          <w:numId w:val="3"/>
        </w:numPr>
      </w:pPr>
      <w:r>
        <w:t xml:space="preserve">Synergising of social audit and CAG’s audit should be undertaken not only for our performance audits (All India/ Central/ State) but also regular compliance </w:t>
      </w:r>
      <w:r w:rsidR="00A02DCB">
        <w:t>audits.</w:t>
      </w:r>
      <w:r>
        <w:t xml:space="preserve"> Oversight of key social sector programmes cannot be restricted to performance audits at intervals of 3-5 years or so, but should include persistent and regular compliance audits of such programmes, for providing regular feedback to policy makers at the Centre and State. Further, such compliance audits must not be restricted strictly to documentary compliance with the rules and guidelines of the programmes, but must also</w:t>
      </w:r>
      <w:r>
        <w:rPr>
          <w:rStyle w:val="FootnoteReference"/>
        </w:rPr>
        <w:footnoteReference w:id="1"/>
      </w:r>
      <w:r>
        <w:t xml:space="preserve"> include output and outcome aspects, e.g. whether the targeted beneficiary has truly benefited from the programme. For this purpose, synergising compliance audit with social audit is necessary.</w:t>
      </w:r>
    </w:p>
    <w:p w:rsidR="001A77B1" w:rsidRDefault="00C825DE" w:rsidP="00FF0DF0">
      <w:pPr>
        <w:pStyle w:val="ListParagraph"/>
        <w:numPr>
          <w:ilvl w:val="0"/>
          <w:numId w:val="3"/>
        </w:numPr>
      </w:pPr>
      <w:r>
        <w:lastRenderedPageBreak/>
        <w:t>The synergising of social audit and CAG’s audit coul</w:t>
      </w:r>
      <w:r w:rsidR="003E26B9">
        <w:t xml:space="preserve">d be divided into three aspects – inputs for our audit planning and implementation, incorporation of findings of social audits, and incorporating social </w:t>
      </w:r>
      <w:r w:rsidR="00A02DCB">
        <w:t xml:space="preserve">audit </w:t>
      </w:r>
      <w:r w:rsidR="003E26B9">
        <w:t>tools in our compliance and performance audits.</w:t>
      </w:r>
    </w:p>
    <w:p w:rsidR="00C825DE" w:rsidRDefault="003E26B9" w:rsidP="00FF0DF0">
      <w:pPr>
        <w:pStyle w:val="ListParagraph"/>
        <w:numPr>
          <w:ilvl w:val="0"/>
          <w:numId w:val="3"/>
        </w:numPr>
      </w:pPr>
      <w:r w:rsidRPr="00184384">
        <w:rPr>
          <w:b/>
        </w:rPr>
        <w:t>Inputs for our audit planning and implementation process</w:t>
      </w:r>
      <w:r>
        <w:t xml:space="preserve"> – Social audit reports of civil society groups / Gram Sabhas could be used as inputs for the risk assessment and prioritisation of units for compliance audits and the audit sample for performance audits. Further, pointers thrown up by social audit reports could be investigated further through rigorous scrutiny of relevant records at various levels.</w:t>
      </w:r>
    </w:p>
    <w:p w:rsidR="003E26B9" w:rsidRDefault="003E26B9" w:rsidP="00FF0DF0">
      <w:pPr>
        <w:pStyle w:val="ListParagraph"/>
        <w:numPr>
          <w:ilvl w:val="0"/>
          <w:numId w:val="3"/>
        </w:numPr>
      </w:pPr>
      <w:r w:rsidRPr="00184384">
        <w:rPr>
          <w:b/>
        </w:rPr>
        <w:t>Incorporation of findings of social audits</w:t>
      </w:r>
      <w:r>
        <w:t xml:space="preserve"> – A summary of the social audit reports of Gram Sabhas and civil society groups could be incorporated (either to provide a different perspective and/or to strengthen / supplement our audit findings) in our performance audit reports</w:t>
      </w:r>
      <w:r w:rsidR="00792E1D">
        <w:t>; due credit should be given to the social audit agencies involved</w:t>
      </w:r>
      <w:r>
        <w:t>.</w:t>
      </w:r>
      <w:r w:rsidR="00184384">
        <w:t xml:space="preserve"> Social audit groups may be encouraged to move beyond NREGA to cover other critical social sector programmes e.g. NRHM, SSA, Public Distribution Scheme, Rural Water Supply etc. </w:t>
      </w:r>
    </w:p>
    <w:p w:rsidR="004E10C7" w:rsidRPr="004E10C7" w:rsidRDefault="004E10C7" w:rsidP="004E10C7">
      <w:pPr>
        <w:pStyle w:val="ListParagraph"/>
        <w:numPr>
          <w:ilvl w:val="0"/>
          <w:numId w:val="3"/>
        </w:numPr>
        <w:tabs>
          <w:tab w:val="left" w:pos="3390"/>
        </w:tabs>
        <w:rPr>
          <w:szCs w:val="24"/>
        </w:rPr>
      </w:pPr>
      <w:r w:rsidRPr="00704E2A">
        <w:rPr>
          <w:szCs w:val="24"/>
        </w:rPr>
        <w:t>A formal framework  of coordination and cooperation may be devised covering the (i) mutual communication of the audit plans and their synchronisation (ii) audit concerns/objectives in the compliance and performance audits and (iii) and the dovetailing of their work and reports into our Report may be developed to serve as internal guidelines; while utilising or extracting from their work as per their own work programmes, the ownership reference must be indicated</w:t>
      </w:r>
      <w:r>
        <w:rPr>
          <w:szCs w:val="24"/>
        </w:rPr>
        <w:t>.</w:t>
      </w:r>
    </w:p>
    <w:p w:rsidR="00184384" w:rsidRDefault="00184384" w:rsidP="00184384">
      <w:pPr>
        <w:pStyle w:val="ListParagraph"/>
        <w:numPr>
          <w:ilvl w:val="0"/>
          <w:numId w:val="3"/>
        </w:numPr>
      </w:pPr>
      <w:r w:rsidRPr="00184384">
        <w:rPr>
          <w:b/>
        </w:rPr>
        <w:t>Incorporating social audit tools in CAG’s compliance and performance audits</w:t>
      </w:r>
      <w:r>
        <w:rPr>
          <w:b/>
        </w:rPr>
        <w:t>:</w:t>
      </w:r>
    </w:p>
    <w:p w:rsidR="00184384" w:rsidRDefault="00184384" w:rsidP="00184384">
      <w:pPr>
        <w:pStyle w:val="ListParagraph"/>
        <w:numPr>
          <w:ilvl w:val="1"/>
          <w:numId w:val="3"/>
        </w:numPr>
      </w:pPr>
      <w:r>
        <w:t>Our audit teams could participate as observers in Gram Sabha meetings and provide necessary inputs therein; this would not, in the opinion of the task group, compromise our independence and integrity. As far as possible, we could synchronise our compliance and performance audit schedules for the sampled units with the programmes for social audits (to the extent feasible).</w:t>
      </w:r>
    </w:p>
    <w:p w:rsidR="00184384" w:rsidRDefault="00184384" w:rsidP="00184384">
      <w:pPr>
        <w:pStyle w:val="ListParagraph"/>
        <w:numPr>
          <w:ilvl w:val="1"/>
          <w:numId w:val="3"/>
        </w:numPr>
      </w:pPr>
      <w:r>
        <w:t>Our audit teams should conduct surveys of beneficiaries to ascertain their feedback on the extent of achievement of intended outputs and outcomes. This could be done either individually by our audit teams or in association with social audit groups. “Authentication” of such findings by Departmental representatives should not be necessary in order for such findings to be acceptable as credible audit evidence. To what extent the feedback from beneficiaries can be relied upon is something that will have to be considered as part of our audit reporting, and will not be necessarily improved by ensuring the signature of Departmental representatives.</w:t>
      </w:r>
    </w:p>
    <w:p w:rsidR="00184384" w:rsidRDefault="00792E1D" w:rsidP="00184384">
      <w:pPr>
        <w:pStyle w:val="ListParagraph"/>
        <w:numPr>
          <w:ilvl w:val="1"/>
          <w:numId w:val="3"/>
        </w:numPr>
      </w:pPr>
      <w:r>
        <w:lastRenderedPageBreak/>
        <w:t>Where, for reasons of resource constraints, we are unable to conduct beneficiary surveys of specific programmes as part of our performance audits, w</w:t>
      </w:r>
      <w:r w:rsidR="00184384">
        <w:t xml:space="preserve">e could encourage social audit groups to </w:t>
      </w:r>
      <w:r>
        <w:t>cover such programmes.</w:t>
      </w:r>
    </w:p>
    <w:p w:rsidR="00184384" w:rsidRDefault="00184384" w:rsidP="00184384">
      <w:pPr>
        <w:pStyle w:val="ListParagraph"/>
        <w:numPr>
          <w:ilvl w:val="1"/>
          <w:numId w:val="3"/>
        </w:numPr>
      </w:pPr>
      <w:r>
        <w:t>Joint physical inspections (with Departmental representatives) of the assets created would also add considerable value to our compliance and performance audit findings.</w:t>
      </w:r>
    </w:p>
    <w:p w:rsidR="00792E1D" w:rsidRDefault="00792E1D" w:rsidP="00184384">
      <w:pPr>
        <w:pStyle w:val="ListParagraph"/>
        <w:numPr>
          <w:ilvl w:val="1"/>
          <w:numId w:val="3"/>
        </w:numPr>
      </w:pPr>
      <w:r>
        <w:t>Where social audit by the Gram Sabha or other user groups/ local committees is mandated for specific programmes and has not been carried out in units within our audit sample, this should be suitably highlighted in our audit report.</w:t>
      </w:r>
    </w:p>
    <w:p w:rsidR="00184384" w:rsidRDefault="00184384" w:rsidP="00184384">
      <w:pPr>
        <w:pStyle w:val="ListParagraph"/>
        <w:numPr>
          <w:ilvl w:val="0"/>
          <w:numId w:val="3"/>
        </w:numPr>
      </w:pPr>
      <w:r w:rsidRPr="00184384">
        <w:rPr>
          <w:b/>
        </w:rPr>
        <w:t>Sharing of Inspection Reports on Social Sector Programmes</w:t>
      </w:r>
      <w:r>
        <w:t xml:space="preserve"> – As per the RTI Act, we are mandated to disclose our inspection reports to the public on demand. Further, Section 4 of the RTI Act enjoins the proactive disclosure of information by Government agencies. In this connection, it is necessary to make available through the CAG/ AG’s websites full details of all our Inspection Reports (as well as replies received thereto) at least in respect of all social sector programmes initially. From our experiences at the </w:t>
      </w:r>
      <w:r w:rsidRPr="003A45F7">
        <w:rPr>
          <w:i/>
          <w:iCs/>
        </w:rPr>
        <w:t>Jan Sunwais and Sammelans</w:t>
      </w:r>
      <w:r>
        <w:t>, the findings being discussed and debated are in many cases quite similar to our IR paragraphs. Making available our IR findings would enable these to be acted upon further in social audit meetings. This would be an additional mechanism to our traditional processes of ensuring public accountability through Departmental and legislative channels, and would not, in the opinion of the task group, adversely affect our normal reporting processes.</w:t>
      </w:r>
    </w:p>
    <w:p w:rsidR="003A45F7" w:rsidRDefault="003A45F7" w:rsidP="00184384">
      <w:pPr>
        <w:pStyle w:val="ListParagraph"/>
        <w:numPr>
          <w:ilvl w:val="0"/>
          <w:numId w:val="3"/>
        </w:numPr>
        <w:rPr>
          <w:bCs/>
        </w:rPr>
      </w:pPr>
      <w:r w:rsidRPr="003D0084">
        <w:rPr>
          <w:bCs/>
        </w:rPr>
        <w:t xml:space="preserve">Considering the </w:t>
      </w:r>
      <w:r w:rsidR="003D0084" w:rsidRPr="003D0084">
        <w:rPr>
          <w:bCs/>
        </w:rPr>
        <w:t>progress</w:t>
      </w:r>
      <w:r w:rsidR="003D0084">
        <w:rPr>
          <w:bCs/>
        </w:rPr>
        <w:t xml:space="preserve"> made by the civil society groups and Gram Sabhas in Andhra Pradesh and Rajasthan and the initiative taken by these State Governments in setting up separate directorates for social audit, we may, as a first step, synergise our audit of social sector programmes in these States with social audit.</w:t>
      </w:r>
    </w:p>
    <w:p w:rsidR="00704E2A" w:rsidRPr="00704E2A" w:rsidRDefault="00704E2A" w:rsidP="00A57A35">
      <w:pPr>
        <w:pStyle w:val="ListParagraph"/>
        <w:numPr>
          <w:ilvl w:val="0"/>
          <w:numId w:val="3"/>
        </w:numPr>
        <w:tabs>
          <w:tab w:val="left" w:pos="3390"/>
        </w:tabs>
        <w:rPr>
          <w:szCs w:val="24"/>
        </w:rPr>
      </w:pPr>
      <w:r w:rsidRPr="00704E2A">
        <w:rPr>
          <w:szCs w:val="24"/>
        </w:rPr>
        <w:t>A coordination committee, consisting of officers from Report Central, Report States and selected AsG may be establish</w:t>
      </w:r>
      <w:r w:rsidR="007B542E">
        <w:rPr>
          <w:szCs w:val="24"/>
        </w:rPr>
        <w:t>ed for mainstreaming the social</w:t>
      </w:r>
      <w:r w:rsidRPr="00704E2A">
        <w:rPr>
          <w:szCs w:val="24"/>
        </w:rPr>
        <w:t xml:space="preserve"> audit,  gather information, draw and monitor plan for synergy and interact with the civil society organisations; </w:t>
      </w:r>
      <w:r>
        <w:rPr>
          <w:szCs w:val="24"/>
        </w:rPr>
        <w:t>t</w:t>
      </w:r>
      <w:r w:rsidRPr="00704E2A">
        <w:rPr>
          <w:szCs w:val="24"/>
        </w:rPr>
        <w:t>he coordination committee should meet at least once in six months to review the work and evolve improved procedures</w:t>
      </w:r>
      <w:r w:rsidR="007B542E">
        <w:rPr>
          <w:szCs w:val="24"/>
        </w:rPr>
        <w:t>.</w:t>
      </w:r>
    </w:p>
    <w:p w:rsidR="00704E2A" w:rsidRDefault="00704E2A" w:rsidP="00A57A35">
      <w:pPr>
        <w:pStyle w:val="ListParagraph"/>
        <w:numPr>
          <w:ilvl w:val="0"/>
          <w:numId w:val="3"/>
        </w:numPr>
        <w:tabs>
          <w:tab w:val="left" w:pos="3390"/>
        </w:tabs>
        <w:rPr>
          <w:szCs w:val="24"/>
        </w:rPr>
      </w:pPr>
      <w:r>
        <w:rPr>
          <w:szCs w:val="24"/>
        </w:rPr>
        <w:t>Active encouragement may be provided by us to promote entities in the field of social audit in those states where it has not take</w:t>
      </w:r>
      <w:r w:rsidR="007B542E">
        <w:rPr>
          <w:szCs w:val="24"/>
        </w:rPr>
        <w:t>n off in any significant manner.</w:t>
      </w:r>
      <w:r>
        <w:rPr>
          <w:szCs w:val="24"/>
        </w:rPr>
        <w:t xml:space="preserve"> </w:t>
      </w:r>
    </w:p>
    <w:p w:rsidR="00704E2A" w:rsidRDefault="00704E2A" w:rsidP="00A57A35">
      <w:pPr>
        <w:pStyle w:val="ListParagraph"/>
        <w:numPr>
          <w:ilvl w:val="0"/>
          <w:numId w:val="3"/>
        </w:numPr>
        <w:tabs>
          <w:tab w:val="left" w:pos="3390"/>
        </w:tabs>
        <w:ind w:left="714" w:hanging="357"/>
        <w:rPr>
          <w:szCs w:val="24"/>
        </w:rPr>
      </w:pPr>
      <w:r>
        <w:rPr>
          <w:szCs w:val="24"/>
        </w:rPr>
        <w:t xml:space="preserve">National and state level seminars </w:t>
      </w:r>
      <w:r w:rsidR="007B542E">
        <w:rPr>
          <w:szCs w:val="24"/>
        </w:rPr>
        <w:t>may</w:t>
      </w:r>
      <w:r>
        <w:rPr>
          <w:szCs w:val="24"/>
        </w:rPr>
        <w:t xml:space="preserve"> be held with multi-perspective participation to highlight and disseminate the social audit efforts. </w:t>
      </w:r>
    </w:p>
    <w:p w:rsidR="00184384" w:rsidRDefault="00184384" w:rsidP="00184384">
      <w:pPr>
        <w:pStyle w:val="ListParagraph"/>
        <w:numPr>
          <w:ilvl w:val="0"/>
          <w:numId w:val="3"/>
        </w:numPr>
      </w:pPr>
      <w:r w:rsidRPr="00184384">
        <w:rPr>
          <w:b/>
        </w:rPr>
        <w:t>Capacity Building</w:t>
      </w:r>
    </w:p>
    <w:p w:rsidR="00C770E9" w:rsidRPr="00C770E9" w:rsidRDefault="00C770E9" w:rsidP="00C770E9">
      <w:pPr>
        <w:pStyle w:val="ListParagraph"/>
        <w:numPr>
          <w:ilvl w:val="0"/>
          <w:numId w:val="5"/>
        </w:numPr>
      </w:pPr>
      <w:r w:rsidRPr="00C770E9">
        <w:t xml:space="preserve">IAAD can prepare easy audit training modules, in local languages, which could explain the basic processes such as sanctions, accounts keeping, vouching of </w:t>
      </w:r>
      <w:r w:rsidRPr="00C770E9">
        <w:lastRenderedPageBreak/>
        <w:t xml:space="preserve">expenditure, measurement of assets and services, etc. Those could be disseminated through dynamic usage of Information &amp; Communication Technology (ICT), civil society groups, workshops organised directly at RTIs/RTCs or at other external venues by identified knowledge institutions. </w:t>
      </w:r>
    </w:p>
    <w:p w:rsidR="00C770E9" w:rsidRPr="00C770E9" w:rsidRDefault="00C770E9" w:rsidP="00C770E9">
      <w:pPr>
        <w:pStyle w:val="ListParagraph"/>
        <w:numPr>
          <w:ilvl w:val="0"/>
          <w:numId w:val="5"/>
        </w:numPr>
      </w:pPr>
      <w:r w:rsidRPr="00C770E9">
        <w:t xml:space="preserve">Besides preparing and disseminating easy audit training modules, IAAD could provide </w:t>
      </w:r>
      <w:r>
        <w:t xml:space="preserve">a </w:t>
      </w:r>
      <w:r w:rsidRPr="00C770E9">
        <w:t>platform for brainstorming and knowledge sharing through workshops and seminars to all manner of persons involved in the social audit process, including the beneficiaries of the programme.</w:t>
      </w:r>
    </w:p>
    <w:p w:rsidR="00C770E9" w:rsidRPr="00C770E9" w:rsidRDefault="00C770E9" w:rsidP="00C770E9">
      <w:pPr>
        <w:pStyle w:val="ListParagraph"/>
        <w:numPr>
          <w:ilvl w:val="0"/>
          <w:numId w:val="5"/>
        </w:numPr>
      </w:pPr>
      <w:r w:rsidRPr="00C770E9">
        <w:t>IAAD personnel at all levels too need to be sensitised to various ground realities with which social programmes are taken up at the grassroots, and are administered at various other levels, outside the pale of official documents. This could be done by deputing IAAD personnel at all levels to social audit sessions (</w:t>
      </w:r>
      <w:r w:rsidRPr="00C770E9">
        <w:rPr>
          <w:i/>
          <w:iCs/>
        </w:rPr>
        <w:t>Jan Sunwaais</w:t>
      </w:r>
      <w:r w:rsidRPr="00C770E9">
        <w:t xml:space="preserve">), associating with knowledge and civil society institutions </w:t>
      </w:r>
      <w:r>
        <w:t xml:space="preserve">and/ </w:t>
      </w:r>
      <w:r w:rsidRPr="00C770E9">
        <w:t xml:space="preserve">or academic institutions, who have an active social work agenda built </w:t>
      </w:r>
      <w:r>
        <w:t>into their academic curriculum.</w:t>
      </w:r>
    </w:p>
    <w:p w:rsidR="000B205A" w:rsidRDefault="00C770E9" w:rsidP="00184384">
      <w:pPr>
        <w:pStyle w:val="ListParagraph"/>
        <w:numPr>
          <w:ilvl w:val="0"/>
          <w:numId w:val="3"/>
        </w:numPr>
      </w:pPr>
      <w:r>
        <w:rPr>
          <w:b/>
        </w:rPr>
        <w:t xml:space="preserve">Strengthening of Local Fund Audit – </w:t>
      </w:r>
      <w:r>
        <w:t xml:space="preserve">The Local Fund Audit Acts of most State Governments do not specifically provide for CAG’s audit of ULBs and PRIs, although provisions for test check and Technical Guidance and Supervision (TGS) by CAG have been made through executive instructions of the State Governments. CAG’s audit of ULBs and PRIs </w:t>
      </w:r>
      <w:r w:rsidR="003A45F7">
        <w:t xml:space="preserve">in all three forms (certification, compliance and performance) </w:t>
      </w:r>
      <w:r>
        <w:t>should be placed on a firm legislative footing. Since funds for most social sector programmes are directly and indirectly being provided to PRIs and ULBs for implementation of such programmes, such a legislativ</w:t>
      </w:r>
      <w:r w:rsidR="000B205A">
        <w:t>e mandate would strengthen our audit access.</w:t>
      </w:r>
    </w:p>
    <w:p w:rsidR="000B205A" w:rsidRPr="000B205A" w:rsidRDefault="000B205A" w:rsidP="000B205A">
      <w:pPr>
        <w:ind w:left="720"/>
      </w:pPr>
      <w:r>
        <w:t>The Civil Audit and Local Bodies Audit functions are being discharged through separate functional channels within IAAD. While for performance audit of social sector programmes, the Civil Audit Offices generally do obtain access to the relevant records of PRIs/ ULBs in respect of such programmes, the accounts of the local tiers of government are not open for CAG’s scrutiny; this is important, since PRIs and ULBs receive huge funds from the Central and State Government for a multiplicity of programmes, and the chances of diversion of funds for other purposes and irregularities in expenditure are high. Further, compliance audit of such programmes would normally devolve on the LB Audit Offices, and their access to records is severely restricted. An improved legislative mandate would simplify such access problems.</w:t>
      </w:r>
    </w:p>
    <w:p w:rsidR="00C770E9" w:rsidRDefault="000B205A" w:rsidP="00184384">
      <w:pPr>
        <w:pStyle w:val="ListParagraph"/>
        <w:numPr>
          <w:ilvl w:val="0"/>
          <w:numId w:val="3"/>
        </w:numPr>
      </w:pPr>
      <w:r w:rsidRPr="000B205A">
        <w:rPr>
          <w:b/>
        </w:rPr>
        <w:t>Uniformity of social audit arrangements across social sector programmes</w:t>
      </w:r>
      <w:r>
        <w:t xml:space="preserve"> –</w:t>
      </w:r>
      <w:r w:rsidR="00975696">
        <w:t xml:space="preserve"> While formal social audit arrangements have been provided for in NREGA, other programmes like PDS, ARWSP, NRHM etc. have varying arrangements for grass-root level monitoring and accountability. For example, programmes of the Rural </w:t>
      </w:r>
      <w:r w:rsidR="00975696">
        <w:lastRenderedPageBreak/>
        <w:t>Development Ministry require monitoring and reporting by a Vigilance and Monitoring Committee at the village level, while Village Monitoring Committees are provided for under NRHM. We could take up the matter with the GoI for ensuring, as far as possible, uniformity of social audit/ monitoring arrangements at the village level for all social sector programmes, so that arrangements for community participation are better institutionalised.</w:t>
      </w:r>
    </w:p>
    <w:p w:rsidR="00975696" w:rsidRPr="00E86739" w:rsidRDefault="00975696" w:rsidP="00184384">
      <w:pPr>
        <w:pStyle w:val="ListParagraph"/>
        <w:numPr>
          <w:ilvl w:val="0"/>
          <w:numId w:val="3"/>
        </w:numPr>
      </w:pPr>
      <w:r>
        <w:rPr>
          <w:b/>
        </w:rPr>
        <w:t xml:space="preserve">Reimbursement of costs for social audit </w:t>
      </w:r>
      <w:r>
        <w:t>– No specific funds are provided to the Gram Sabhas and other village level monitoring committees in a majority of the programmes for carrying out social audit/ monitoring activities. GoI may be requested to consider some form of funding for reimbursement of reasonable costs of such activities like organising of Gram Sabha meetings etc. This would also increase the level of community participation at such meetings. In addition, it would reduce the tendency for diversion of programme funds for meeting the unavoidable costs of organising such activities, and ensure that financial discipline is strengthened.</w:t>
      </w:r>
    </w:p>
    <w:sectPr w:rsidR="00975696" w:rsidRPr="00E86739" w:rsidSect="00FB120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B69" w:rsidRDefault="00B56B69" w:rsidP="001A77B1">
      <w:pPr>
        <w:spacing w:before="0" w:after="0" w:line="240" w:lineRule="auto"/>
      </w:pPr>
      <w:r>
        <w:separator/>
      </w:r>
    </w:p>
  </w:endnote>
  <w:endnote w:type="continuationSeparator" w:id="0">
    <w:p w:rsidR="00B56B69" w:rsidRDefault="00B56B69" w:rsidP="001A77B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0C7" w:rsidRPr="004E10C7" w:rsidRDefault="004E10C7" w:rsidP="004E10C7">
    <w:pPr>
      <w:pStyle w:val="Footer"/>
      <w:pBdr>
        <w:top w:val="single" w:sz="4" w:space="1" w:color="auto"/>
      </w:pBdr>
      <w:rPr>
        <w:b/>
        <w:bCs/>
        <w:i/>
        <w:iCs/>
        <w:sz w:val="20"/>
        <w:szCs w:val="20"/>
      </w:rPr>
    </w:pPr>
    <w:r w:rsidRPr="004E10C7">
      <w:rPr>
        <w:b/>
        <w:bCs/>
        <w:i/>
        <w:iCs/>
        <w:sz w:val="20"/>
        <w:szCs w:val="20"/>
      </w:rPr>
      <w:t>December 2009</w:t>
    </w:r>
    <w:r w:rsidRPr="004E10C7">
      <w:rPr>
        <w:b/>
        <w:bCs/>
        <w:i/>
        <w:iCs/>
        <w:sz w:val="20"/>
        <w:szCs w:val="20"/>
      </w:rPr>
      <w:tab/>
    </w:r>
    <w:r w:rsidRPr="004E10C7">
      <w:rPr>
        <w:b/>
        <w:bCs/>
        <w:i/>
        <w:iCs/>
        <w:sz w:val="20"/>
        <w:szCs w:val="20"/>
      </w:rPr>
      <w:tab/>
      <w:t xml:space="preserve">Page | </w:t>
    </w:r>
    <w:r w:rsidRPr="004E10C7">
      <w:rPr>
        <w:b/>
        <w:bCs/>
        <w:i/>
        <w:iCs/>
        <w:sz w:val="20"/>
        <w:szCs w:val="20"/>
      </w:rPr>
      <w:fldChar w:fldCharType="begin"/>
    </w:r>
    <w:r w:rsidRPr="004E10C7">
      <w:rPr>
        <w:b/>
        <w:bCs/>
        <w:i/>
        <w:iCs/>
        <w:sz w:val="20"/>
        <w:szCs w:val="20"/>
      </w:rPr>
      <w:instrText xml:space="preserve"> PAGE   \* MERGEFORMAT </w:instrText>
    </w:r>
    <w:r w:rsidRPr="004E10C7">
      <w:rPr>
        <w:b/>
        <w:bCs/>
        <w:i/>
        <w:iCs/>
        <w:sz w:val="20"/>
        <w:szCs w:val="20"/>
      </w:rPr>
      <w:fldChar w:fldCharType="separate"/>
    </w:r>
    <w:r w:rsidR="00297208">
      <w:rPr>
        <w:b/>
        <w:bCs/>
        <w:i/>
        <w:iCs/>
        <w:noProof/>
        <w:sz w:val="20"/>
        <w:szCs w:val="20"/>
      </w:rPr>
      <w:t>8</w:t>
    </w:r>
    <w:r w:rsidRPr="004E10C7">
      <w:rPr>
        <w:b/>
        <w:bCs/>
        <w:i/>
        <w:i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B69" w:rsidRDefault="00B56B69" w:rsidP="001A77B1">
      <w:pPr>
        <w:spacing w:before="0" w:after="0" w:line="240" w:lineRule="auto"/>
      </w:pPr>
      <w:r>
        <w:separator/>
      </w:r>
    </w:p>
  </w:footnote>
  <w:footnote w:type="continuationSeparator" w:id="0">
    <w:p w:rsidR="00B56B69" w:rsidRDefault="00B56B69" w:rsidP="001A77B1">
      <w:pPr>
        <w:spacing w:before="0" w:after="0" w:line="240" w:lineRule="auto"/>
      </w:pPr>
      <w:r>
        <w:continuationSeparator/>
      </w:r>
    </w:p>
  </w:footnote>
  <w:footnote w:id="1">
    <w:p w:rsidR="001A77B1" w:rsidRDefault="001A77B1">
      <w:pPr>
        <w:pStyle w:val="FootnoteText"/>
      </w:pPr>
      <w:r>
        <w:rPr>
          <w:rStyle w:val="FootnoteReference"/>
        </w:rPr>
        <w:footnoteRef/>
      </w:r>
      <w:r>
        <w:t xml:space="preserve"> As suggested by members of the Audit Advisory Board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0C7" w:rsidRPr="004E10C7" w:rsidRDefault="004E10C7" w:rsidP="004E10C7">
    <w:pPr>
      <w:pStyle w:val="Header"/>
      <w:pBdr>
        <w:bottom w:val="single" w:sz="4" w:space="1" w:color="auto"/>
      </w:pBdr>
      <w:jc w:val="right"/>
      <w:rPr>
        <w:b/>
        <w:bCs/>
        <w:i/>
        <w:iCs/>
        <w:sz w:val="20"/>
        <w:szCs w:val="20"/>
      </w:rPr>
    </w:pPr>
    <w:r w:rsidRPr="004E10C7">
      <w:rPr>
        <w:b/>
        <w:bCs/>
        <w:i/>
        <w:iCs/>
        <w:sz w:val="20"/>
        <w:szCs w:val="20"/>
      </w:rPr>
      <w:t>Report of the Task Group on Social Audit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2421B"/>
    <w:multiLevelType w:val="hybridMultilevel"/>
    <w:tmpl w:val="1382C366"/>
    <w:lvl w:ilvl="0" w:tplc="40090001">
      <w:start w:val="1"/>
      <w:numFmt w:val="bullet"/>
      <w:lvlText w:val=""/>
      <w:lvlJc w:val="left"/>
      <w:pPr>
        <w:ind w:left="720" w:hanging="360"/>
      </w:pPr>
      <w:rPr>
        <w:rFonts w:ascii="Symbol" w:hAnsi="Symbol" w:hint="default"/>
      </w:rPr>
    </w:lvl>
    <w:lvl w:ilvl="1" w:tplc="4009000B">
      <w:start w:val="1"/>
      <w:numFmt w:val="bullet"/>
      <w:lvlText w:val=""/>
      <w:lvlJc w:val="left"/>
      <w:pPr>
        <w:ind w:left="1440" w:hanging="360"/>
      </w:pPr>
      <w:rPr>
        <w:rFonts w:ascii="Wingdings" w:hAnsi="Wingdings"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7240C08"/>
    <w:multiLevelType w:val="hybridMultilevel"/>
    <w:tmpl w:val="778CA016"/>
    <w:lvl w:ilvl="0" w:tplc="0409000F">
      <w:start w:val="1"/>
      <w:numFmt w:val="decimal"/>
      <w:lvlText w:val="%1."/>
      <w:lvlJc w:val="left"/>
      <w:pPr>
        <w:ind w:left="720" w:hanging="360"/>
      </w:pPr>
      <w:rPr>
        <w:rFonts w:hint="default"/>
      </w:rPr>
    </w:lvl>
    <w:lvl w:ilvl="1" w:tplc="40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995C06"/>
    <w:multiLevelType w:val="hybridMultilevel"/>
    <w:tmpl w:val="2256C9D4"/>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8744412"/>
    <w:multiLevelType w:val="hybridMultilevel"/>
    <w:tmpl w:val="3D7C27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4C5499"/>
    <w:multiLevelType w:val="hybridMultilevel"/>
    <w:tmpl w:val="74488272"/>
    <w:lvl w:ilvl="0" w:tplc="CF6CF0FE">
      <w:start w:val="1"/>
      <w:numFmt w:val="decimal"/>
      <w:lvlText w:val="%1."/>
      <w:lvlJc w:val="left"/>
      <w:pPr>
        <w:ind w:left="720" w:hanging="360"/>
      </w:pPr>
    </w:lvl>
    <w:lvl w:ilvl="1" w:tplc="F0C68FCE" w:tentative="1">
      <w:start w:val="1"/>
      <w:numFmt w:val="lowerLetter"/>
      <w:lvlText w:val="%2."/>
      <w:lvlJc w:val="left"/>
      <w:pPr>
        <w:ind w:left="1440" w:hanging="360"/>
      </w:pPr>
    </w:lvl>
    <w:lvl w:ilvl="2" w:tplc="5D7CD86E" w:tentative="1">
      <w:start w:val="1"/>
      <w:numFmt w:val="lowerRoman"/>
      <w:lvlText w:val="%3."/>
      <w:lvlJc w:val="right"/>
      <w:pPr>
        <w:ind w:left="2160" w:hanging="180"/>
      </w:pPr>
    </w:lvl>
    <w:lvl w:ilvl="3" w:tplc="71426EF8" w:tentative="1">
      <w:start w:val="1"/>
      <w:numFmt w:val="decimal"/>
      <w:lvlText w:val="%4."/>
      <w:lvlJc w:val="left"/>
      <w:pPr>
        <w:ind w:left="2880" w:hanging="360"/>
      </w:pPr>
    </w:lvl>
    <w:lvl w:ilvl="4" w:tplc="B6209A28" w:tentative="1">
      <w:start w:val="1"/>
      <w:numFmt w:val="lowerLetter"/>
      <w:lvlText w:val="%5."/>
      <w:lvlJc w:val="left"/>
      <w:pPr>
        <w:ind w:left="3600" w:hanging="360"/>
      </w:pPr>
    </w:lvl>
    <w:lvl w:ilvl="5" w:tplc="5F302574" w:tentative="1">
      <w:start w:val="1"/>
      <w:numFmt w:val="lowerRoman"/>
      <w:lvlText w:val="%6."/>
      <w:lvlJc w:val="right"/>
      <w:pPr>
        <w:ind w:left="4320" w:hanging="180"/>
      </w:pPr>
    </w:lvl>
    <w:lvl w:ilvl="6" w:tplc="50C61A28" w:tentative="1">
      <w:start w:val="1"/>
      <w:numFmt w:val="decimal"/>
      <w:lvlText w:val="%7."/>
      <w:lvlJc w:val="left"/>
      <w:pPr>
        <w:ind w:left="5040" w:hanging="360"/>
      </w:pPr>
    </w:lvl>
    <w:lvl w:ilvl="7" w:tplc="C32C05A8" w:tentative="1">
      <w:start w:val="1"/>
      <w:numFmt w:val="lowerLetter"/>
      <w:lvlText w:val="%8."/>
      <w:lvlJc w:val="left"/>
      <w:pPr>
        <w:ind w:left="5760" w:hanging="360"/>
      </w:pPr>
    </w:lvl>
    <w:lvl w:ilvl="8" w:tplc="8132BF60" w:tentative="1">
      <w:start w:val="1"/>
      <w:numFmt w:val="lowerRoman"/>
      <w:lvlText w:val="%9."/>
      <w:lvlJc w:val="right"/>
      <w:pPr>
        <w:ind w:left="6480" w:hanging="180"/>
      </w:pPr>
    </w:lvl>
  </w:abstractNum>
  <w:abstractNum w:abstractNumId="5">
    <w:nsid w:val="624A7CBE"/>
    <w:multiLevelType w:val="hybridMultilevel"/>
    <w:tmpl w:val="AB1E25CE"/>
    <w:lvl w:ilvl="0" w:tplc="40090013">
      <w:start w:val="1"/>
      <w:numFmt w:val="upp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777465AF"/>
    <w:multiLevelType w:val="hybridMultilevel"/>
    <w:tmpl w:val="B9D8358E"/>
    <w:lvl w:ilvl="0" w:tplc="B6CEB30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7926703C"/>
    <w:multiLevelType w:val="multilevel"/>
    <w:tmpl w:val="4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7"/>
  </w:num>
  <w:num w:numId="2">
    <w:abstractNumId w:val="4"/>
  </w:num>
  <w:num w:numId="3">
    <w:abstractNumId w:val="5"/>
  </w:num>
  <w:num w:numId="4">
    <w:abstractNumId w:val="0"/>
  </w:num>
  <w:num w:numId="5">
    <w:abstractNumId w:val="2"/>
  </w:num>
  <w:num w:numId="6">
    <w:abstractNumId w:val="3"/>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21A"/>
    <w:rsid w:val="000B205A"/>
    <w:rsid w:val="00184384"/>
    <w:rsid w:val="001A77B1"/>
    <w:rsid w:val="00275937"/>
    <w:rsid w:val="00282491"/>
    <w:rsid w:val="00297208"/>
    <w:rsid w:val="002A1719"/>
    <w:rsid w:val="003A45F7"/>
    <w:rsid w:val="003B323D"/>
    <w:rsid w:val="003D0084"/>
    <w:rsid w:val="003E26B9"/>
    <w:rsid w:val="004B0E22"/>
    <w:rsid w:val="004E10C7"/>
    <w:rsid w:val="005179AB"/>
    <w:rsid w:val="00527D43"/>
    <w:rsid w:val="005452DD"/>
    <w:rsid w:val="00554363"/>
    <w:rsid w:val="005C592A"/>
    <w:rsid w:val="005D720C"/>
    <w:rsid w:val="006A1627"/>
    <w:rsid w:val="00704E2A"/>
    <w:rsid w:val="007471FA"/>
    <w:rsid w:val="00792E1D"/>
    <w:rsid w:val="007A11DF"/>
    <w:rsid w:val="007B542E"/>
    <w:rsid w:val="007F200A"/>
    <w:rsid w:val="008E021A"/>
    <w:rsid w:val="009014AE"/>
    <w:rsid w:val="00975696"/>
    <w:rsid w:val="00990F4E"/>
    <w:rsid w:val="009E54F1"/>
    <w:rsid w:val="00A02DCB"/>
    <w:rsid w:val="00A10929"/>
    <w:rsid w:val="00A213D5"/>
    <w:rsid w:val="00A23DE1"/>
    <w:rsid w:val="00A26E2B"/>
    <w:rsid w:val="00A57A35"/>
    <w:rsid w:val="00A87274"/>
    <w:rsid w:val="00B517A9"/>
    <w:rsid w:val="00B56B69"/>
    <w:rsid w:val="00BA648A"/>
    <w:rsid w:val="00C00C3E"/>
    <w:rsid w:val="00C327A8"/>
    <w:rsid w:val="00C770E9"/>
    <w:rsid w:val="00C825DE"/>
    <w:rsid w:val="00C96CBE"/>
    <w:rsid w:val="00D27086"/>
    <w:rsid w:val="00DB23F2"/>
    <w:rsid w:val="00E05BD2"/>
    <w:rsid w:val="00E27547"/>
    <w:rsid w:val="00E86739"/>
    <w:rsid w:val="00EC60E3"/>
    <w:rsid w:val="00ED3C8A"/>
    <w:rsid w:val="00F20ED6"/>
    <w:rsid w:val="00FB1203"/>
    <w:rsid w:val="00FF0DF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552291-D798-423B-A3BA-3E6761A8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0E3"/>
    <w:pPr>
      <w:spacing w:before="120" w:after="120"/>
      <w:jc w:val="both"/>
    </w:pPr>
    <w:rPr>
      <w:sz w:val="24"/>
    </w:rPr>
  </w:style>
  <w:style w:type="paragraph" w:styleId="Heading1">
    <w:name w:val="heading 1"/>
    <w:basedOn w:val="Normal"/>
    <w:next w:val="Normal"/>
    <w:link w:val="Heading1Char"/>
    <w:uiPriority w:val="9"/>
    <w:qFormat/>
    <w:rsid w:val="00EC60E3"/>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60E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C60E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C60E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C60E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60E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C60E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60E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60E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C60E3"/>
    <w:pPr>
      <w:pBdr>
        <w:bottom w:val="single" w:sz="8" w:space="4" w:color="4F81BD" w:themeColor="accent1"/>
      </w:pBdr>
      <w:spacing w:after="300" w:line="36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EC60E3"/>
    <w:rPr>
      <w:rFonts w:asciiTheme="majorHAnsi" w:eastAsiaTheme="majorEastAsia" w:hAnsiTheme="majorHAnsi" w:cstheme="majorBidi"/>
      <w:b/>
      <w:color w:val="17365D" w:themeColor="text2" w:themeShade="BF"/>
      <w:spacing w:val="5"/>
      <w:kern w:val="28"/>
      <w:sz w:val="36"/>
      <w:szCs w:val="52"/>
    </w:rPr>
  </w:style>
  <w:style w:type="character" w:customStyle="1" w:styleId="Heading1Char">
    <w:name w:val="Heading 1 Char"/>
    <w:basedOn w:val="DefaultParagraphFont"/>
    <w:link w:val="Heading1"/>
    <w:uiPriority w:val="9"/>
    <w:rsid w:val="00EC60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C60E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C60E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C60E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C60E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C60E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C60E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60E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60E3"/>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FF0DF0"/>
    <w:pPr>
      <w:ind w:left="720"/>
    </w:pPr>
  </w:style>
  <w:style w:type="paragraph" w:styleId="Quote">
    <w:name w:val="Quote"/>
    <w:basedOn w:val="Normal"/>
    <w:next w:val="Normal"/>
    <w:link w:val="QuoteChar"/>
    <w:uiPriority w:val="29"/>
    <w:qFormat/>
    <w:rsid w:val="00A213D5"/>
    <w:pPr>
      <w:spacing w:before="0" w:after="0" w:line="240" w:lineRule="auto"/>
      <w:jc w:val="left"/>
    </w:pPr>
    <w:rPr>
      <w:rFonts w:ascii="Calibri" w:eastAsia="Calibri" w:hAnsi="Calibri" w:cs="Mangal"/>
      <w:i/>
      <w:iCs/>
      <w:color w:val="000000"/>
      <w:sz w:val="22"/>
      <w:szCs w:val="20"/>
      <w:lang w:bidi="hi-IN"/>
    </w:rPr>
  </w:style>
  <w:style w:type="character" w:customStyle="1" w:styleId="QuoteChar">
    <w:name w:val="Quote Char"/>
    <w:basedOn w:val="DefaultParagraphFont"/>
    <w:link w:val="Quote"/>
    <w:uiPriority w:val="29"/>
    <w:rsid w:val="00A213D5"/>
    <w:rPr>
      <w:rFonts w:ascii="Calibri" w:eastAsia="Calibri" w:hAnsi="Calibri" w:cs="Mangal"/>
      <w:i/>
      <w:iCs/>
      <w:color w:val="000000"/>
      <w:szCs w:val="20"/>
      <w:lang w:bidi="hi-IN"/>
    </w:rPr>
  </w:style>
  <w:style w:type="paragraph" w:styleId="FootnoteText">
    <w:name w:val="footnote text"/>
    <w:basedOn w:val="Normal"/>
    <w:link w:val="FootnoteTextChar"/>
    <w:uiPriority w:val="99"/>
    <w:semiHidden/>
    <w:unhideWhenUsed/>
    <w:rsid w:val="001A77B1"/>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1A77B1"/>
    <w:rPr>
      <w:sz w:val="20"/>
      <w:szCs w:val="20"/>
    </w:rPr>
  </w:style>
  <w:style w:type="character" w:styleId="FootnoteReference">
    <w:name w:val="footnote reference"/>
    <w:basedOn w:val="DefaultParagraphFont"/>
    <w:uiPriority w:val="99"/>
    <w:semiHidden/>
    <w:unhideWhenUsed/>
    <w:rsid w:val="001A77B1"/>
    <w:rPr>
      <w:vertAlign w:val="superscript"/>
    </w:rPr>
  </w:style>
  <w:style w:type="paragraph" w:styleId="Header">
    <w:name w:val="header"/>
    <w:basedOn w:val="Normal"/>
    <w:link w:val="HeaderChar"/>
    <w:uiPriority w:val="99"/>
    <w:semiHidden/>
    <w:unhideWhenUsed/>
    <w:rsid w:val="004E10C7"/>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4E10C7"/>
    <w:rPr>
      <w:sz w:val="24"/>
    </w:rPr>
  </w:style>
  <w:style w:type="paragraph" w:styleId="Footer">
    <w:name w:val="footer"/>
    <w:basedOn w:val="Normal"/>
    <w:link w:val="FooterChar"/>
    <w:uiPriority w:val="99"/>
    <w:semiHidden/>
    <w:unhideWhenUsed/>
    <w:rsid w:val="004E10C7"/>
    <w:pPr>
      <w:tabs>
        <w:tab w:val="center" w:pos="4513"/>
        <w:tab w:val="right" w:pos="9026"/>
      </w:tabs>
      <w:spacing w:before="0" w:after="0" w:line="240" w:lineRule="auto"/>
    </w:pPr>
  </w:style>
  <w:style w:type="character" w:customStyle="1" w:styleId="FooterChar">
    <w:name w:val="Footer Char"/>
    <w:basedOn w:val="DefaultParagraphFont"/>
    <w:link w:val="Footer"/>
    <w:uiPriority w:val="99"/>
    <w:semiHidden/>
    <w:rsid w:val="004E10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DB113-7C69-4C9D-AB3C-6FF5CFEC1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4997</Words>
  <Characters>28488</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Social Audit Report</vt:lpstr>
    </vt:vector>
  </TitlesOfParts>
  <Company>HP</Company>
  <LinksUpToDate>false</LinksUpToDate>
  <CharactersWithSpaces>33419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Audit Report</dc:title>
  <dc:creator>Vani Sriram</dc:creator>
  <cp:keywords>Task Group</cp:keywords>
  <cp:lastModifiedBy>Rakshita</cp:lastModifiedBy>
  <cp:revision>2</cp:revision>
  <dcterms:created xsi:type="dcterms:W3CDTF">2014-08-07T05:37:00Z</dcterms:created>
  <dcterms:modified xsi:type="dcterms:W3CDTF">2014-08-07T05:37:00Z</dcterms:modified>
</cp:coreProperties>
</file>